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F619A" w14:textId="77777777" w:rsidR="007303F7" w:rsidRDefault="007303F7" w:rsidP="00083E50">
      <w:pPr>
        <w:pStyle w:val="Heading1"/>
      </w:pPr>
      <w:r>
        <w:t>Michigan Department of Education</w:t>
      </w:r>
      <w:r w:rsidR="00083E50">
        <w:br/>
      </w:r>
      <w:r>
        <w:t>Website Accessibility Update</w:t>
      </w:r>
    </w:p>
    <w:p w14:paraId="0D0011E9" w14:textId="3455349F" w:rsidR="007303F7" w:rsidRDefault="007303F7" w:rsidP="00083E50">
      <w:pPr>
        <w:jc w:val="center"/>
      </w:pPr>
      <w:r>
        <w:t xml:space="preserve">June </w:t>
      </w:r>
      <w:r w:rsidR="00F329E7">
        <w:t>3</w:t>
      </w:r>
      <w:r>
        <w:t>, 2016</w:t>
      </w:r>
    </w:p>
    <w:p w14:paraId="56BBDDA0" w14:textId="77777777" w:rsidR="00083E50" w:rsidRDefault="00083E50" w:rsidP="00083E50">
      <w:pPr>
        <w:jc w:val="center"/>
      </w:pPr>
    </w:p>
    <w:p w14:paraId="003235FF" w14:textId="77777777" w:rsidR="00083E50" w:rsidRDefault="00083E50" w:rsidP="00083E50">
      <w:pPr>
        <w:pStyle w:val="Heading2"/>
      </w:pPr>
      <w:r>
        <w:t>Michigan.gov Webpages</w:t>
      </w:r>
    </w:p>
    <w:p w14:paraId="214E1636" w14:textId="77777777" w:rsidR="00083E50" w:rsidRDefault="00083E50" w:rsidP="00083E50"/>
    <w:p w14:paraId="4BB6CD4A" w14:textId="77E09698" w:rsidR="00083E50" w:rsidRDefault="00B136DC" w:rsidP="00083E50">
      <w:r>
        <w:t xml:space="preserve">The </w:t>
      </w:r>
      <w:r w:rsidR="009C4399">
        <w:t xml:space="preserve">State of Michigan </w:t>
      </w:r>
      <w:r w:rsidR="00207165">
        <w:t xml:space="preserve">compliance tool tracks </w:t>
      </w:r>
      <w:r w:rsidR="00CC5E60">
        <w:t>WCAG</w:t>
      </w:r>
      <w:r w:rsidR="00083E50">
        <w:t xml:space="preserve"> 2.0 A and AA issues. (An issue is defined as a flagged topic. Each issue may have multiple </w:t>
      </w:r>
      <w:r>
        <w:t xml:space="preserve">instances on multiple </w:t>
      </w:r>
      <w:r w:rsidR="00083E50">
        <w:t>pages.</w:t>
      </w:r>
      <w:r w:rsidR="00E312B6">
        <w:t>)</w:t>
      </w:r>
    </w:p>
    <w:p w14:paraId="68E04AB6" w14:textId="77777777" w:rsidR="00D1454F" w:rsidRDefault="00D1454F" w:rsidP="00083E50"/>
    <w:p w14:paraId="7F9F0433" w14:textId="7E25D645" w:rsidR="00D1454F" w:rsidRDefault="00D1454F" w:rsidP="00083E50">
      <w:r>
        <w:t xml:space="preserve">MDE’s </w:t>
      </w:r>
      <w:r w:rsidR="00331D9A">
        <w:t>Website was</w:t>
      </w:r>
      <w:r w:rsidR="002B7457">
        <w:t xml:space="preserve"> complaint to </w:t>
      </w:r>
      <w:r w:rsidR="00CC5E60">
        <w:t>WCAG</w:t>
      </w:r>
      <w:r w:rsidR="002B7457">
        <w:t xml:space="preserve"> 1.0 guidelines</w:t>
      </w:r>
      <w:r>
        <w:t xml:space="preserve"> under </w:t>
      </w:r>
      <w:r w:rsidR="00C764B8">
        <w:t xml:space="preserve">the </w:t>
      </w:r>
      <w:r>
        <w:t>previous compliance tool</w:t>
      </w:r>
      <w:r w:rsidR="00207165">
        <w:t xml:space="preserve">, however, had numerous errors under </w:t>
      </w:r>
      <w:r w:rsidR="00062F19">
        <w:t xml:space="preserve">new </w:t>
      </w:r>
      <w:r w:rsidR="00CC5E60">
        <w:t>WCAG</w:t>
      </w:r>
      <w:r w:rsidR="00207165">
        <w:t xml:space="preserve"> 2.0 guidelines. </w:t>
      </w:r>
      <w:r w:rsidR="00062F19">
        <w:t>The State of Michigan’s new</w:t>
      </w:r>
      <w:r>
        <w:t xml:space="preserve"> compliance tool began scanning State of Michigan </w:t>
      </w:r>
      <w:r w:rsidR="00062F19">
        <w:t>web</w:t>
      </w:r>
      <w:r>
        <w:t>pages in January 2015.  The</w:t>
      </w:r>
      <w:r w:rsidR="004236EA">
        <w:t xml:space="preserve"> tool became available to MDE in</w:t>
      </w:r>
      <w:r>
        <w:t xml:space="preserve"> March 2015. </w:t>
      </w:r>
    </w:p>
    <w:p w14:paraId="3EEE7689" w14:textId="77777777" w:rsidR="00083E50" w:rsidRPr="00083E50" w:rsidRDefault="00083E50" w:rsidP="00083E50"/>
    <w:p w14:paraId="5D4639C3" w14:textId="77777777" w:rsidR="00083E50" w:rsidRPr="00083E50" w:rsidRDefault="00083E50" w:rsidP="00083E50"/>
    <w:p w14:paraId="6A22DF6E" w14:textId="35EBB9B8" w:rsidR="007303F7" w:rsidRDefault="00A436F7">
      <w:r>
        <w:rPr>
          <w:noProof/>
        </w:rPr>
        <w:drawing>
          <wp:inline distT="0" distB="0" distL="0" distR="0" wp14:anchorId="2F4089A2" wp14:editId="2FF32F03">
            <wp:extent cx="5257800" cy="26670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CF780B6" w14:textId="77777777" w:rsidR="00D1454F" w:rsidRDefault="00D1454F"/>
    <w:p w14:paraId="5E119730" w14:textId="300C4377" w:rsidR="00D1454F" w:rsidRDefault="00D1454F"/>
    <w:p w14:paraId="79AA2A4C" w14:textId="4D7E7B3C" w:rsidR="007F5BA8" w:rsidRDefault="007F5BA8" w:rsidP="007F5BA8">
      <w:r>
        <w:t xml:space="preserve">Initially every MDE </w:t>
      </w:r>
      <w:r w:rsidR="00C04114">
        <w:t>web</w:t>
      </w:r>
      <w:r>
        <w:t>page had multiple accessibility errors. This account</w:t>
      </w:r>
      <w:r w:rsidR="000271DF">
        <w:t>ed</w:t>
      </w:r>
      <w:r>
        <w:t xml:space="preserve"> for over 1,</w:t>
      </w:r>
      <w:r w:rsidR="00062F19">
        <w:t>7</w:t>
      </w:r>
      <w:r>
        <w:t>00 pages</w:t>
      </w:r>
      <w:r w:rsidR="000271DF">
        <w:t xml:space="preserve"> that needed remediation</w:t>
      </w:r>
      <w:r>
        <w:t>. In June 201</w:t>
      </w:r>
      <w:r w:rsidR="009F73FE">
        <w:t>5</w:t>
      </w:r>
      <w:r>
        <w:t xml:space="preserve"> MDE began tracking individual page errors.</w:t>
      </w:r>
    </w:p>
    <w:p w14:paraId="1042A3B5" w14:textId="77777777" w:rsidR="007F5BA8" w:rsidRDefault="007F5BA8" w:rsidP="007F5BA8"/>
    <w:p w14:paraId="09CF0F42" w14:textId="354FBF48" w:rsidR="007F5BA8" w:rsidRDefault="00F329E7" w:rsidP="00F329E7">
      <w:pPr>
        <w:jc w:val="center"/>
      </w:pPr>
      <w:r>
        <w:rPr>
          <w:noProof/>
        </w:rPr>
        <w:lastRenderedPageBreak/>
        <w:drawing>
          <wp:inline distT="0" distB="0" distL="0" distR="0" wp14:anchorId="4F69F370" wp14:editId="3CB558A0">
            <wp:extent cx="4572000" cy="2921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2B44CEC" w14:textId="77777777" w:rsidR="00BD670B" w:rsidRDefault="00BD670B" w:rsidP="007F5BA8"/>
    <w:p w14:paraId="69F7CC74" w14:textId="0ECDAF7C" w:rsidR="00BD670B" w:rsidRDefault="00F73A21" w:rsidP="007F5BA8">
      <w:pPr>
        <w:rPr>
          <w:b/>
        </w:rPr>
      </w:pPr>
      <w:r w:rsidRPr="00F73A21">
        <w:rPr>
          <w:b/>
        </w:rPr>
        <w:t>Remaini</w:t>
      </w:r>
      <w:r w:rsidR="00137285">
        <w:rPr>
          <w:b/>
        </w:rPr>
        <w:t>ng W</w:t>
      </w:r>
      <w:r w:rsidRPr="00F73A21">
        <w:rPr>
          <w:b/>
        </w:rPr>
        <w:t>ork:</w:t>
      </w:r>
    </w:p>
    <w:p w14:paraId="7E0C9514" w14:textId="77777777" w:rsidR="00F73A21" w:rsidRPr="00F73A21" w:rsidRDefault="00F73A21" w:rsidP="007F5BA8"/>
    <w:p w14:paraId="33AB2E5C" w14:textId="7A563048" w:rsidR="007513F1" w:rsidRDefault="00F73A21" w:rsidP="007F5BA8">
      <w:r>
        <w:t xml:space="preserve">Support from DTMB is still required on a few remaining </w:t>
      </w:r>
      <w:r w:rsidR="00B7388E">
        <w:t xml:space="preserve">architectural </w:t>
      </w:r>
      <w:r w:rsidR="004236EA">
        <w:t>issues</w:t>
      </w:r>
      <w:r w:rsidR="00687BC1">
        <w:t>. These items include errors related to:</w:t>
      </w:r>
    </w:p>
    <w:p w14:paraId="491E5CC8" w14:textId="77777777" w:rsidR="007513F1" w:rsidRDefault="007513F1" w:rsidP="007F5BA8"/>
    <w:p w14:paraId="5B59EC49" w14:textId="04F3B599" w:rsidR="007513F1" w:rsidRDefault="00062F19" w:rsidP="00137285">
      <w:pPr>
        <w:pStyle w:val="ListParagraph"/>
        <w:numPr>
          <w:ilvl w:val="0"/>
          <w:numId w:val="1"/>
        </w:numPr>
      </w:pPr>
      <w:r>
        <w:t xml:space="preserve">WCAG 2.0 Reference: </w:t>
      </w:r>
      <w:r w:rsidR="007513F1">
        <w:t>1.3.1 Info and Relationships (</w:t>
      </w:r>
      <w:r w:rsidR="00BA6A10">
        <w:t xml:space="preserve">30 </w:t>
      </w:r>
      <w:r w:rsidR="007513F1">
        <w:t>Page</w:t>
      </w:r>
      <w:r w:rsidR="00BA6A10">
        <w:t>s</w:t>
      </w:r>
      <w:r w:rsidR="007513F1">
        <w:t>)</w:t>
      </w:r>
    </w:p>
    <w:p w14:paraId="635B260A" w14:textId="2843188E" w:rsidR="00BA6A10" w:rsidRDefault="00062F19" w:rsidP="00137285">
      <w:pPr>
        <w:pStyle w:val="ListParagraph"/>
        <w:numPr>
          <w:ilvl w:val="0"/>
          <w:numId w:val="1"/>
        </w:numPr>
      </w:pPr>
      <w:r>
        <w:t xml:space="preserve">WCAG 2.0 Reference: </w:t>
      </w:r>
      <w:r w:rsidR="00BA6A10">
        <w:t xml:space="preserve">1.4.1 </w:t>
      </w:r>
      <w:r w:rsidR="00D1242F">
        <w:t>Link identified only by color (</w:t>
      </w:r>
      <w:r w:rsidR="00BA6A10">
        <w:t>1,450 pages)</w:t>
      </w:r>
    </w:p>
    <w:p w14:paraId="388A3719" w14:textId="77777777" w:rsidR="00954576" w:rsidRDefault="00954576" w:rsidP="00954576"/>
    <w:p w14:paraId="5787259A" w14:textId="136FAE9B" w:rsidR="004236EA" w:rsidRDefault="004236EA" w:rsidP="00954576">
      <w:r>
        <w:t xml:space="preserve">A plan is in place to address the remaining issues and MDE expects </w:t>
      </w:r>
      <w:r w:rsidR="00C04114">
        <w:t>to have the MDE Website compliant within the agreement timeline.</w:t>
      </w:r>
      <w:r>
        <w:t xml:space="preserve"> </w:t>
      </w:r>
    </w:p>
    <w:p w14:paraId="50A711BB" w14:textId="482883F0" w:rsidR="002D1FC4" w:rsidRDefault="008D66BC" w:rsidP="008D66BC">
      <w:pPr>
        <w:pStyle w:val="Heading2"/>
      </w:pPr>
      <w:r>
        <w:t>Michigan.gov Documents</w:t>
      </w:r>
    </w:p>
    <w:p w14:paraId="194784AF" w14:textId="77777777" w:rsidR="00954576" w:rsidRDefault="00954576" w:rsidP="00954576"/>
    <w:p w14:paraId="555A5BF6" w14:textId="0BC7485E" w:rsidR="008D66BC" w:rsidRDefault="00D1242F" w:rsidP="00954576">
      <w:r>
        <w:t>In June</w:t>
      </w:r>
      <w:r w:rsidR="00062F19">
        <w:t xml:space="preserve"> 2015 </w:t>
      </w:r>
      <w:r w:rsidR="00FD3036">
        <w:t>MDE began tracking progress towards remediating PDF documents.</w:t>
      </w:r>
      <w:r w:rsidR="00BA2FA2">
        <w:t xml:space="preserve"> At the start, every PDF hosted on the MDE Website had at least one accessibility error.</w:t>
      </w:r>
      <w:r w:rsidR="00FD3036">
        <w:t xml:space="preserve"> In June 2015, MDE had 8,160 inaccessible PDFs </w:t>
      </w:r>
      <w:r w:rsidR="00B45547">
        <w:t>on the website</w:t>
      </w:r>
      <w:r w:rsidR="00FD3036">
        <w:t xml:space="preserve">. </w:t>
      </w:r>
      <w:r w:rsidR="00BA2FA2">
        <w:t xml:space="preserve">In the review process, many documents were found to not be current and were removed. </w:t>
      </w:r>
      <w:r w:rsidR="00FD3036">
        <w:t>As of June 2016 M</w:t>
      </w:r>
      <w:r w:rsidR="00CB7DBA">
        <w:t>DE has approximately 2,</w:t>
      </w:r>
      <w:r w:rsidR="00102D71">
        <w:t>2</w:t>
      </w:r>
      <w:r w:rsidR="0095339C">
        <w:t>00 inaccessible PDFs and 1,</w:t>
      </w:r>
      <w:r w:rsidR="00102D71">
        <w:t>5</w:t>
      </w:r>
      <w:r w:rsidR="0095339C">
        <w:t>00 accessible PDFs.</w:t>
      </w:r>
    </w:p>
    <w:p w14:paraId="14D4AD8F" w14:textId="77777777" w:rsidR="003E01F7" w:rsidRDefault="003E01F7" w:rsidP="00954576"/>
    <w:p w14:paraId="684D219A" w14:textId="5C9395D1" w:rsidR="00A436F7" w:rsidRDefault="00F329E7" w:rsidP="00954576">
      <w:r>
        <w:rPr>
          <w:noProof/>
        </w:rPr>
        <w:drawing>
          <wp:inline distT="0" distB="0" distL="0" distR="0" wp14:anchorId="24E75EC0" wp14:editId="34F4B001">
            <wp:extent cx="5486400" cy="3956685"/>
            <wp:effectExtent l="0" t="0" r="0" b="57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5CC422" w14:textId="77777777" w:rsidR="00A436F7" w:rsidRDefault="00A436F7" w:rsidP="00954576"/>
    <w:p w14:paraId="5E4C7474" w14:textId="675E4F83" w:rsidR="00B025A8" w:rsidRDefault="00B103D0" w:rsidP="00954576">
      <w:r>
        <w:t>Starting in</w:t>
      </w:r>
      <w:r w:rsidR="00B025A8">
        <w:t xml:space="preserve"> March 2016, all new and updated documents posted to the MDE website must be made accessible per MDE’s Accessibility Plan. There are a few exceptions for PDFs generated by certain applications</w:t>
      </w:r>
      <w:r w:rsidR="00062F19">
        <w:t xml:space="preserve">, which </w:t>
      </w:r>
      <w:r w:rsidR="00937889">
        <w:t xml:space="preserve">are </w:t>
      </w:r>
      <w:r w:rsidR="00062F19">
        <w:t xml:space="preserve">noted under </w:t>
      </w:r>
      <w:r w:rsidR="00102D71">
        <w:t>Remaining</w:t>
      </w:r>
      <w:r w:rsidR="00062F19">
        <w:t xml:space="preserve"> Work</w:t>
      </w:r>
      <w:r w:rsidR="00B025A8">
        <w:t>.</w:t>
      </w:r>
    </w:p>
    <w:p w14:paraId="361C653A" w14:textId="77777777" w:rsidR="00B025A8" w:rsidRDefault="00B025A8" w:rsidP="00954576"/>
    <w:p w14:paraId="2EC5242A" w14:textId="0480A25F" w:rsidR="003E01F7" w:rsidRDefault="003E01F7" w:rsidP="00954576">
      <w:r>
        <w:t>MDE Website also hosts approximately 1,</w:t>
      </w:r>
      <w:r w:rsidR="00B45547">
        <w:t>1</w:t>
      </w:r>
      <w:r>
        <w:t xml:space="preserve">00 Word, Excel, and PowerPoint documents. </w:t>
      </w:r>
      <w:r w:rsidR="002B490D">
        <w:t xml:space="preserve"> Inventory of these documents have been distributed to staff to either convert to PDF, remove, or make compliant within Microsoft Office. </w:t>
      </w:r>
      <w:r w:rsidR="00BA5DCD">
        <w:t xml:space="preserve">Documents in Microsoft Office formats </w:t>
      </w:r>
      <w:r w:rsidR="002B490D">
        <w:t>will be a manual process as there is no compl</w:t>
      </w:r>
      <w:r w:rsidR="00766F0E">
        <w:t>iance tool available to monitor</w:t>
      </w:r>
      <w:r w:rsidR="002B490D">
        <w:t xml:space="preserve"> these </w:t>
      </w:r>
      <w:r w:rsidR="003A46FA">
        <w:t>document types.</w:t>
      </w:r>
      <w:r w:rsidR="002B490D">
        <w:t xml:space="preserve"> </w:t>
      </w:r>
    </w:p>
    <w:p w14:paraId="1E56F415" w14:textId="77777777" w:rsidR="00003CEC" w:rsidRDefault="00003CEC" w:rsidP="00954576"/>
    <w:p w14:paraId="5EF3099F" w14:textId="6B6A516C" w:rsidR="00003CEC" w:rsidRDefault="00003CEC" w:rsidP="00003CEC">
      <w:pPr>
        <w:rPr>
          <w:b/>
        </w:rPr>
      </w:pPr>
      <w:r w:rsidRPr="00F73A21">
        <w:rPr>
          <w:b/>
        </w:rPr>
        <w:t>Remaini</w:t>
      </w:r>
      <w:r>
        <w:rPr>
          <w:b/>
        </w:rPr>
        <w:t>ng W</w:t>
      </w:r>
      <w:r w:rsidRPr="00F73A21">
        <w:rPr>
          <w:b/>
        </w:rPr>
        <w:t>ork:</w:t>
      </w:r>
    </w:p>
    <w:p w14:paraId="08DE9B28" w14:textId="77777777" w:rsidR="00003CEC" w:rsidRDefault="00003CEC" w:rsidP="00954576"/>
    <w:p w14:paraId="02C6A4AC" w14:textId="2C28D872" w:rsidR="00BF7D56" w:rsidRDefault="0076446E" w:rsidP="00BF7D56">
      <w:r>
        <w:t xml:space="preserve">Progress for PDF documents is </w:t>
      </w:r>
      <w:r w:rsidR="00BF7D56">
        <w:t xml:space="preserve">trending towards a completion of </w:t>
      </w:r>
      <w:r w:rsidR="00571744">
        <w:t>March 2017</w:t>
      </w:r>
      <w:r w:rsidR="00D46495">
        <w:t xml:space="preserve"> and MDE expects to complete document remediation within the agreement timeline</w:t>
      </w:r>
      <w:r w:rsidR="00571744">
        <w:t>.</w:t>
      </w:r>
    </w:p>
    <w:p w14:paraId="19A818FA" w14:textId="77777777" w:rsidR="00BF7D56" w:rsidRDefault="00BF7D56" w:rsidP="00954576"/>
    <w:p w14:paraId="71106FA7" w14:textId="3CBC93E5" w:rsidR="00B04011" w:rsidRDefault="00003CEC" w:rsidP="00954576">
      <w:r>
        <w:t xml:space="preserve">MDE is struggling to work with PDFs generated from Microsoft Access and custom web application. DTMB is providing support </w:t>
      </w:r>
      <w:r w:rsidR="00062F19">
        <w:t xml:space="preserve">towards </w:t>
      </w:r>
      <w:r>
        <w:t>find</w:t>
      </w:r>
      <w:r w:rsidR="002B4911">
        <w:t>ing</w:t>
      </w:r>
      <w:r>
        <w:t xml:space="preserve"> solutions to these problems. Other issues relate to </w:t>
      </w:r>
      <w:r w:rsidR="00766F0E">
        <w:t xml:space="preserve">required </w:t>
      </w:r>
      <w:r>
        <w:t xml:space="preserve">hosting of district or third-party content. MDE is investigating </w:t>
      </w:r>
      <w:r w:rsidR="00C31780">
        <w:t xml:space="preserve">how it can make these documents accessible, either by process streamlining or working with </w:t>
      </w:r>
      <w:r w:rsidR="004707B4">
        <w:t xml:space="preserve">districts </w:t>
      </w:r>
      <w:r w:rsidR="00B618EC">
        <w:t>and partners</w:t>
      </w:r>
      <w:r w:rsidR="00C31780">
        <w:t xml:space="preserve"> to make submitted documents accessible. </w:t>
      </w:r>
    </w:p>
    <w:p w14:paraId="2249ABC1" w14:textId="2B0CAB89" w:rsidR="00BF7D56" w:rsidRDefault="000859C9" w:rsidP="00BF7D56">
      <w:pPr>
        <w:pStyle w:val="Heading2"/>
      </w:pPr>
      <w:r>
        <w:t>M</w:t>
      </w:r>
      <w:r w:rsidR="00BF7D56">
        <w:t>ichigan.gov Videos</w:t>
      </w:r>
    </w:p>
    <w:p w14:paraId="42DC8E3E" w14:textId="77777777" w:rsidR="00BF7D56" w:rsidRDefault="00BF7D56" w:rsidP="00954576"/>
    <w:p w14:paraId="3056376E" w14:textId="693C44F8" w:rsidR="00BF7D56" w:rsidRDefault="00BF7D56" w:rsidP="00954576">
      <w:r>
        <w:t>Progress is underway to caption archive</w:t>
      </w:r>
      <w:r w:rsidR="002916C6">
        <w:t>d</w:t>
      </w:r>
      <w:r>
        <w:t xml:space="preserve"> Michigan State Board of Education meetings, in addition to f</w:t>
      </w:r>
      <w:r w:rsidR="00480A80">
        <w:t>uture meetings</w:t>
      </w:r>
      <w:r w:rsidR="006315F8">
        <w:t xml:space="preserve">. </w:t>
      </w:r>
      <w:r w:rsidR="0051131C">
        <w:t xml:space="preserve"> There are approximately 115 archived State Board of Education meetings and </w:t>
      </w:r>
      <w:r w:rsidR="00A2530D">
        <w:t>40</w:t>
      </w:r>
      <w:r w:rsidR="0051131C">
        <w:t xml:space="preserve"> have been captioned. </w:t>
      </w:r>
    </w:p>
    <w:p w14:paraId="40387FE1" w14:textId="77777777" w:rsidR="004074F2" w:rsidRDefault="004074F2" w:rsidP="00954576"/>
    <w:p w14:paraId="528EAB23" w14:textId="2E79C5C9" w:rsidR="004074F2" w:rsidRDefault="00D46495" w:rsidP="00954576">
      <w:r>
        <w:t>Additionally,</w:t>
      </w:r>
      <w:r w:rsidR="004074F2">
        <w:t xml:space="preserve"> there </w:t>
      </w:r>
      <w:r w:rsidR="00326646">
        <w:t xml:space="preserve">are over 100 other MDE videos. These videos </w:t>
      </w:r>
      <w:r w:rsidR="0022047A">
        <w:t xml:space="preserve">are </w:t>
      </w:r>
      <w:r w:rsidR="00F26252">
        <w:t>under review</w:t>
      </w:r>
      <w:r w:rsidR="00D24658">
        <w:t xml:space="preserve"> </w:t>
      </w:r>
      <w:r w:rsidR="004074F2">
        <w:t xml:space="preserve">to be retained, reproduced, or remove. </w:t>
      </w:r>
      <w:r w:rsidR="00D24658">
        <w:t xml:space="preserve"> In the review process, many videos were found to not be current and will likely be removed or reproduced. </w:t>
      </w:r>
    </w:p>
    <w:p w14:paraId="5F243198" w14:textId="77777777" w:rsidR="00D526C0" w:rsidRDefault="00D526C0" w:rsidP="00954576"/>
    <w:p w14:paraId="0A8F8627" w14:textId="6033B672" w:rsidR="00D526C0" w:rsidRDefault="00F329E7" w:rsidP="00F329E7">
      <w:pPr>
        <w:jc w:val="center"/>
      </w:pPr>
      <w:bookmarkStart w:id="0" w:name="_GoBack"/>
      <w:r>
        <w:rPr>
          <w:noProof/>
        </w:rPr>
        <w:drawing>
          <wp:inline distT="0" distB="0" distL="0" distR="0" wp14:anchorId="3AEB0AB5" wp14:editId="6C4C135C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14:paraId="371D232E" w14:textId="77777777" w:rsidR="00D526C0" w:rsidRDefault="00D526C0" w:rsidP="00954576"/>
    <w:p w14:paraId="45F16B9E" w14:textId="3310B62C" w:rsidR="00D526C0" w:rsidRDefault="00D526C0" w:rsidP="00D526C0">
      <w:pPr>
        <w:rPr>
          <w:b/>
        </w:rPr>
      </w:pPr>
      <w:r w:rsidRPr="00F73A21">
        <w:rPr>
          <w:b/>
        </w:rPr>
        <w:t>Remaini</w:t>
      </w:r>
      <w:r>
        <w:rPr>
          <w:b/>
        </w:rPr>
        <w:t>ng W</w:t>
      </w:r>
      <w:r w:rsidRPr="00F73A21">
        <w:rPr>
          <w:b/>
        </w:rPr>
        <w:t>ork:</w:t>
      </w:r>
    </w:p>
    <w:p w14:paraId="73DB7A58" w14:textId="77777777" w:rsidR="00D526C0" w:rsidRDefault="00D526C0" w:rsidP="00954576"/>
    <w:p w14:paraId="59BA6ABB" w14:textId="313FF463" w:rsidR="00D526C0" w:rsidRDefault="00D526C0" w:rsidP="00954576">
      <w:r>
        <w:t xml:space="preserve">Completion of State Board videos are projected to go beyond the </w:t>
      </w:r>
      <w:r w:rsidR="00D46495">
        <w:t>agreement timeline</w:t>
      </w:r>
      <w:r>
        <w:t xml:space="preserve">, however, the vendor is ramping up production. If the vendor is not successful in meeting the contract deadline, MDE will remove </w:t>
      </w:r>
      <w:r w:rsidR="00D46495">
        <w:t>the oldest</w:t>
      </w:r>
      <w:r>
        <w:t xml:space="preserve"> </w:t>
      </w:r>
      <w:r w:rsidR="00062F19">
        <w:t>remaining</w:t>
      </w:r>
      <w:r>
        <w:t xml:space="preserve"> videos until they are captioned.</w:t>
      </w:r>
    </w:p>
    <w:p w14:paraId="4F86013A" w14:textId="77777777" w:rsidR="005552D6" w:rsidRDefault="005552D6" w:rsidP="00954576"/>
    <w:p w14:paraId="62E9DE8B" w14:textId="3F64207F" w:rsidR="005552D6" w:rsidRDefault="005552D6" w:rsidP="00954576">
      <w:r>
        <w:t xml:space="preserve">Inventory of other videos have been distributed to offices for review. The process to identify videos that will be retained </w:t>
      </w:r>
      <w:r w:rsidR="00693DAE">
        <w:t>and require captions is ongoing.</w:t>
      </w:r>
    </w:p>
    <w:p w14:paraId="1AF18ABC" w14:textId="386ACE16" w:rsidR="00693DAE" w:rsidRDefault="00693DAE" w:rsidP="00954576">
      <w:r>
        <w:br/>
      </w:r>
      <w:r w:rsidR="008A72B9">
        <w:t xml:space="preserve">By June 2017 </w:t>
      </w:r>
      <w:r>
        <w:t xml:space="preserve">MDE expects all MDE videos linked on the MDE </w:t>
      </w:r>
      <w:r w:rsidR="00766F0E">
        <w:t>Website</w:t>
      </w:r>
      <w:r>
        <w:t xml:space="preserve"> to be captioned and viewable on an acc</w:t>
      </w:r>
      <w:r w:rsidR="00D46495">
        <w:t>essible player through YouTube.</w:t>
      </w:r>
    </w:p>
    <w:p w14:paraId="74A69D78" w14:textId="72C0DEEA" w:rsidR="0076446E" w:rsidRDefault="000037CD" w:rsidP="000037CD">
      <w:pPr>
        <w:pStyle w:val="Heading2"/>
      </w:pPr>
      <w:r>
        <w:t>Accessibility Training</w:t>
      </w:r>
    </w:p>
    <w:p w14:paraId="36F3EACC" w14:textId="77777777" w:rsidR="0076446E" w:rsidRDefault="0076446E" w:rsidP="00954576"/>
    <w:p w14:paraId="6C34BABB" w14:textId="607D8421" w:rsidR="000037CD" w:rsidRDefault="000037CD" w:rsidP="00954576">
      <w:r>
        <w:t xml:space="preserve">All staff with access to update the MDE Website have been trained as of 1/4/16. Website editors received video training through Lynda.com and classroom training provided by DTMB.  In addition, optional document workshops have been available to all staff. </w:t>
      </w:r>
    </w:p>
    <w:p w14:paraId="0F0B1AD9" w14:textId="77777777" w:rsidR="00F20D47" w:rsidRDefault="00F20D47" w:rsidP="00954576"/>
    <w:p w14:paraId="38119EEB" w14:textId="6B999D64" w:rsidR="00F20D47" w:rsidRDefault="00F20D47" w:rsidP="00954576">
      <w:r>
        <w:rPr>
          <w:noProof/>
        </w:rPr>
        <w:drawing>
          <wp:inline distT="0" distB="0" distL="0" distR="0" wp14:anchorId="7F37F80A" wp14:editId="04C5D668">
            <wp:extent cx="5486400" cy="2586990"/>
            <wp:effectExtent l="0" t="0" r="0" b="38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F8DC70" w14:textId="77777777" w:rsidR="007964BA" w:rsidRDefault="007964BA" w:rsidP="00954576"/>
    <w:p w14:paraId="765235CC" w14:textId="54EB2E17" w:rsidR="007964BA" w:rsidRDefault="007964BA" w:rsidP="007964BA">
      <w:pPr>
        <w:rPr>
          <w:b/>
        </w:rPr>
      </w:pPr>
      <w:r w:rsidRPr="00F73A21">
        <w:rPr>
          <w:b/>
        </w:rPr>
        <w:t>Remaini</w:t>
      </w:r>
      <w:r>
        <w:rPr>
          <w:b/>
        </w:rPr>
        <w:t>ng W</w:t>
      </w:r>
      <w:r w:rsidRPr="00F73A21">
        <w:rPr>
          <w:b/>
        </w:rPr>
        <w:t>ork:</w:t>
      </w:r>
    </w:p>
    <w:p w14:paraId="7C2D70ED" w14:textId="77777777" w:rsidR="007964BA" w:rsidRDefault="007964BA" w:rsidP="00954576"/>
    <w:p w14:paraId="4AE6BD22" w14:textId="11FCE23F" w:rsidR="007964BA" w:rsidRDefault="00BF111F" w:rsidP="00954576">
      <w:r>
        <w:t xml:space="preserve">New or newly assigned staff are required to complete accessibility training prior to gaining access to make changes to the MDE Website. </w:t>
      </w:r>
    </w:p>
    <w:p w14:paraId="05C0227F" w14:textId="77777777" w:rsidR="0035239D" w:rsidRDefault="0035239D" w:rsidP="00954576"/>
    <w:p w14:paraId="151BEA6B" w14:textId="6D797CD6" w:rsidR="0035239D" w:rsidRDefault="0035239D" w:rsidP="00954576">
      <w:r>
        <w:t>A yearly refresher training is being developed for website staff.</w:t>
      </w:r>
    </w:p>
    <w:p w14:paraId="7BC91D64" w14:textId="77777777" w:rsidR="0035239D" w:rsidRDefault="0035239D" w:rsidP="00954576"/>
    <w:p w14:paraId="68B71327" w14:textId="06AF9D8D" w:rsidR="0035239D" w:rsidRDefault="0035239D" w:rsidP="00954576">
      <w:r>
        <w:t>Once MDE’s Accessibility Plan is approved by USED, training will begin for website editors on MDE’s Accessibility Plan.</w:t>
      </w:r>
    </w:p>
    <w:p w14:paraId="7079AB5A" w14:textId="77777777" w:rsidR="0035239D" w:rsidRDefault="0035239D" w:rsidP="00954576"/>
    <w:p w14:paraId="1A3BD575" w14:textId="487B00C8" w:rsidR="0035239D" w:rsidRDefault="00E03E06" w:rsidP="00954576">
      <w:r>
        <w:t>A n</w:t>
      </w:r>
      <w:r w:rsidR="0035239D">
        <w:t>ew accessibility document workshop is being planned for all MDE staff.</w:t>
      </w:r>
    </w:p>
    <w:p w14:paraId="69D99B18" w14:textId="77777777" w:rsidR="00B95E85" w:rsidRDefault="00B95E85" w:rsidP="00954576"/>
    <w:p w14:paraId="4E2844E2" w14:textId="2597D174" w:rsidR="00B95E85" w:rsidRDefault="00B95E85" w:rsidP="00B95E85">
      <w:pPr>
        <w:pStyle w:val="Heading2"/>
      </w:pPr>
      <w:r>
        <w:t>DTMB-Hosted Applications</w:t>
      </w:r>
    </w:p>
    <w:p w14:paraId="62DBCEC2" w14:textId="77777777" w:rsidR="00B95E85" w:rsidRDefault="00B95E85" w:rsidP="00B95E85"/>
    <w:p w14:paraId="4C4B14F9" w14:textId="3B5EF88F" w:rsidR="00B95E85" w:rsidRDefault="00FB04AD" w:rsidP="00B95E85">
      <w:r>
        <w:t>MDE ha</w:t>
      </w:r>
      <w:r w:rsidR="00B4089E">
        <w:t>s 1</w:t>
      </w:r>
      <w:r w:rsidR="00A436F7">
        <w:t>8</w:t>
      </w:r>
      <w:r w:rsidR="00B4089E">
        <w:t xml:space="preserve"> DTMB-hosted applications. 6 of those applications have documentation for ADA compliance based on WC</w:t>
      </w:r>
      <w:r w:rsidR="00CC5E60">
        <w:t>AG</w:t>
      </w:r>
      <w:r w:rsidR="00B4089E">
        <w:t xml:space="preserve"> 1.0 </w:t>
      </w:r>
      <w:r w:rsidR="00750E69">
        <w:t>guidelines</w:t>
      </w:r>
      <w:r w:rsidR="00B4089E">
        <w:t xml:space="preserve">. </w:t>
      </w:r>
      <w:r w:rsidR="00CC5E60">
        <w:t xml:space="preserve">Documentation couldn’t be found on 11 of the applications. </w:t>
      </w:r>
      <w:r w:rsidR="00A436F7">
        <w:t>One application is</w:t>
      </w:r>
      <w:r w:rsidR="00CC5E60">
        <w:t xml:space="preserve"> currently in development </w:t>
      </w:r>
      <w:r w:rsidR="00155C76">
        <w:t xml:space="preserve">using </w:t>
      </w:r>
      <w:r w:rsidR="00CC5E60">
        <w:t>WCAG</w:t>
      </w:r>
      <w:r w:rsidR="00155C76">
        <w:t xml:space="preserve"> 2.0 guidelines.</w:t>
      </w:r>
    </w:p>
    <w:p w14:paraId="77223B6F" w14:textId="77777777" w:rsidR="00F90AD5" w:rsidRDefault="00F90AD5" w:rsidP="00B95E85"/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6160"/>
        <w:gridCol w:w="2320"/>
      </w:tblGrid>
      <w:tr w:rsidR="00F90AD5" w:rsidRPr="00F90AD5" w14:paraId="5F34F5CC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DF6B" w14:textId="77777777" w:rsidR="00F90AD5" w:rsidRPr="00F90AD5" w:rsidRDefault="00F90AD5" w:rsidP="00F90A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AD5">
              <w:rPr>
                <w:rFonts w:ascii="Arial" w:eastAsia="Times New Roman" w:hAnsi="Arial" w:cs="Arial"/>
                <w:b/>
                <w:bCs/>
                <w:color w:val="000000"/>
              </w:rPr>
              <w:t>Application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CBA3" w14:textId="77777777" w:rsidR="00F90AD5" w:rsidRPr="00F90AD5" w:rsidRDefault="00F90AD5" w:rsidP="00F90A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0AD5">
              <w:rPr>
                <w:rFonts w:ascii="Arial" w:eastAsia="Times New Roman" w:hAnsi="Arial" w:cs="Arial"/>
                <w:b/>
                <w:bCs/>
                <w:color w:val="000000"/>
              </w:rPr>
              <w:t>Status</w:t>
            </w:r>
          </w:p>
        </w:tc>
      </w:tr>
      <w:tr w:rsidR="00F90AD5" w:rsidRPr="00F90AD5" w14:paraId="373C4A4F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DC66BD4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Authors and Illustrators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02359E4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WCAG 1.0</w:t>
            </w:r>
          </w:p>
        </w:tc>
      </w:tr>
      <w:tr w:rsidR="00F90AD5" w:rsidRPr="00F90AD5" w14:paraId="583D5A5F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814F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Caseload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678D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</w:tr>
      <w:tr w:rsidR="00F90AD5" w:rsidRPr="00F90AD5" w14:paraId="63CBDA47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4C0D9A9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Cash Management System (CMS)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56AF87E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</w:tr>
      <w:tr w:rsidR="00F90AD5" w:rsidRPr="00F90AD5" w14:paraId="7269E7B6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433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CDC Provider Training System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6C69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Pending WCAG 2.0</w:t>
            </w:r>
          </w:p>
        </w:tc>
      </w:tr>
      <w:tr w:rsidR="00F90AD5" w:rsidRPr="00F90AD5" w14:paraId="4BBB5A16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3EB1CCA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DAS Secure Site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DBC4BF8" w14:textId="77777777" w:rsidR="00F90AD5" w:rsidRPr="00F90AD5" w:rsidRDefault="00F329E7" w:rsidP="00F90AD5">
            <w:pPr>
              <w:rPr>
                <w:rFonts w:ascii="Arial" w:eastAsia="Times New Roman" w:hAnsi="Arial" w:cs="Arial"/>
                <w:color w:val="000000"/>
              </w:rPr>
            </w:pPr>
            <w:hyperlink r:id="rId10" w:history="1">
              <w:r w:rsidR="00F90AD5" w:rsidRPr="00F90AD5">
                <w:rPr>
                  <w:rFonts w:ascii="Arial" w:eastAsia="Times New Roman" w:hAnsi="Arial" w:cs="Arial"/>
                </w:rPr>
                <w:t>WCAG 1.0</w:t>
              </w:r>
            </w:hyperlink>
          </w:p>
        </w:tc>
      </w:tr>
      <w:tr w:rsidR="00F90AD5" w:rsidRPr="00F90AD5" w14:paraId="773A1112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D488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Grant Monitoring System (GEMS)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5DBE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</w:tr>
      <w:tr w:rsidR="00F90AD5" w:rsidRPr="00F90AD5" w14:paraId="08541177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9ADD195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MEIS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C4E0649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</w:tr>
      <w:tr w:rsidR="00F90AD5" w:rsidRPr="00F90AD5" w14:paraId="4B16BD1B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A7EC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Michigan Cemeteries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CA39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</w:tr>
      <w:tr w:rsidR="00F90AD5" w:rsidRPr="00F90AD5" w14:paraId="2E9102CA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2618AD4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Michigan Electronic Grants Application Plus (MEGS+)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317AE93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</w:tr>
      <w:tr w:rsidR="00F90AD5" w:rsidRPr="00F90AD5" w14:paraId="24E39875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BA81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Michigan Nutrition Data System (MIND)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A666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</w:tr>
      <w:tr w:rsidR="00F90AD5" w:rsidRPr="00F90AD5" w14:paraId="433C2D06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A5C8EA7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Migrant Education Database System (MEDS)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BD987D0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WCAG 1.0</w:t>
            </w:r>
          </w:p>
        </w:tc>
      </w:tr>
      <w:tr w:rsidR="00F90AD5" w:rsidRPr="00F90AD5" w14:paraId="57EEB324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1FAF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 xml:space="preserve">NXT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7AFA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</w:tr>
      <w:tr w:rsidR="00F90AD5" w:rsidRPr="00F90AD5" w14:paraId="4FCA5D95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B5B629D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School BUS Inventory (BUS)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BE30882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WCAG 1.0</w:t>
            </w:r>
          </w:p>
        </w:tc>
      </w:tr>
      <w:tr w:rsidR="00F90AD5" w:rsidRPr="00F90AD5" w14:paraId="0B7F16D4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0ECC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State Aid Status Reports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0A4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</w:tr>
      <w:tr w:rsidR="00F90AD5" w:rsidRPr="00F90AD5" w14:paraId="7F99D4D8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59B6EED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Survey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6FB3E82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WCAG 1.0</w:t>
            </w:r>
          </w:p>
        </w:tc>
      </w:tr>
      <w:tr w:rsidR="00F90AD5" w:rsidRPr="00F90AD5" w14:paraId="509BA9F9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5795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Taxable Value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C560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</w:tr>
      <w:tr w:rsidR="00F90AD5" w:rsidRPr="00F90AD5" w14:paraId="1E92C775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ED494D6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Teacher Certification (MOECS)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C5EDEB6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WCAG 1.0</w:t>
            </w:r>
          </w:p>
        </w:tc>
      </w:tr>
      <w:tr w:rsidR="00F90AD5" w:rsidRPr="00F90AD5" w14:paraId="0097C585" w14:textId="77777777" w:rsidTr="00F90AD5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9716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Teacher of the Year (MTOY)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10D" w14:textId="77777777" w:rsidR="00F90AD5" w:rsidRPr="00F90AD5" w:rsidRDefault="00F90AD5" w:rsidP="00F90AD5">
            <w:pPr>
              <w:rPr>
                <w:rFonts w:ascii="Arial" w:eastAsia="Times New Roman" w:hAnsi="Arial" w:cs="Arial"/>
                <w:color w:val="000000"/>
              </w:rPr>
            </w:pPr>
            <w:r w:rsidRPr="00F90AD5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</w:tr>
    </w:tbl>
    <w:p w14:paraId="30DBA8B8" w14:textId="77777777" w:rsidR="00F90AD5" w:rsidRPr="00B95E85" w:rsidRDefault="00F90AD5" w:rsidP="00B95E85"/>
    <w:p w14:paraId="3E1EC579" w14:textId="56D646FD" w:rsidR="00334422" w:rsidRDefault="00334422" w:rsidP="00334422">
      <w:pPr>
        <w:rPr>
          <w:b/>
        </w:rPr>
      </w:pPr>
      <w:r w:rsidRPr="00F73A21">
        <w:rPr>
          <w:b/>
        </w:rPr>
        <w:t>Remaini</w:t>
      </w:r>
      <w:r>
        <w:rPr>
          <w:b/>
        </w:rPr>
        <w:t>ng W</w:t>
      </w:r>
      <w:r w:rsidRPr="00F73A21">
        <w:rPr>
          <w:b/>
        </w:rPr>
        <w:t>ork:</w:t>
      </w:r>
    </w:p>
    <w:p w14:paraId="5C1FE1DA" w14:textId="77777777" w:rsidR="00B95E85" w:rsidRDefault="00B95E85" w:rsidP="00954576"/>
    <w:p w14:paraId="05CCD0DB" w14:textId="2C2082DA" w:rsidR="00334422" w:rsidRPr="00F73A21" w:rsidRDefault="00334422" w:rsidP="00954576">
      <w:r>
        <w:t>Due to bu</w:t>
      </w:r>
      <w:r w:rsidR="00F30009">
        <w:t xml:space="preserve">dget and staffing restrictions from other obligated activities, </w:t>
      </w:r>
      <w:r>
        <w:t xml:space="preserve">MDE does not expect to complete ADA requirements for </w:t>
      </w:r>
      <w:r w:rsidR="00155C76">
        <w:t xml:space="preserve">all </w:t>
      </w:r>
      <w:r>
        <w:t xml:space="preserve">these applications </w:t>
      </w:r>
      <w:r w:rsidR="001A78FF">
        <w:t xml:space="preserve">within the agreement timeline. </w:t>
      </w:r>
      <w:r>
        <w:t>MDE, however, is working with DTMB to develop individual project plans for each application.</w:t>
      </w:r>
    </w:p>
    <w:sectPr w:rsidR="00334422" w:rsidRPr="00F73A21" w:rsidSect="00FC1F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A070C"/>
    <w:multiLevelType w:val="hybridMultilevel"/>
    <w:tmpl w:val="1B5E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F7"/>
    <w:rsid w:val="000037CD"/>
    <w:rsid w:val="00003CEC"/>
    <w:rsid w:val="000271DF"/>
    <w:rsid w:val="000457C7"/>
    <w:rsid w:val="00062F19"/>
    <w:rsid w:val="00083E50"/>
    <w:rsid w:val="000859C9"/>
    <w:rsid w:val="00102D71"/>
    <w:rsid w:val="00137285"/>
    <w:rsid w:val="00140783"/>
    <w:rsid w:val="00155C76"/>
    <w:rsid w:val="001A78FF"/>
    <w:rsid w:val="001B040A"/>
    <w:rsid w:val="00207165"/>
    <w:rsid w:val="0022047A"/>
    <w:rsid w:val="002916C6"/>
    <w:rsid w:val="002A72FD"/>
    <w:rsid w:val="002B490D"/>
    <w:rsid w:val="002B4911"/>
    <w:rsid w:val="002B7457"/>
    <w:rsid w:val="002D1FC4"/>
    <w:rsid w:val="00315760"/>
    <w:rsid w:val="00326646"/>
    <w:rsid w:val="00331D9A"/>
    <w:rsid w:val="00334422"/>
    <w:rsid w:val="0035239D"/>
    <w:rsid w:val="003A46FA"/>
    <w:rsid w:val="003C2FE9"/>
    <w:rsid w:val="003E01F7"/>
    <w:rsid w:val="004074F2"/>
    <w:rsid w:val="004236EA"/>
    <w:rsid w:val="004707B4"/>
    <w:rsid w:val="00480A80"/>
    <w:rsid w:val="0051131C"/>
    <w:rsid w:val="005552D6"/>
    <w:rsid w:val="00571744"/>
    <w:rsid w:val="005976EB"/>
    <w:rsid w:val="005C7ED1"/>
    <w:rsid w:val="006009BA"/>
    <w:rsid w:val="006315F8"/>
    <w:rsid w:val="00687BC1"/>
    <w:rsid w:val="00693DAE"/>
    <w:rsid w:val="006D2726"/>
    <w:rsid w:val="006D5741"/>
    <w:rsid w:val="007303F7"/>
    <w:rsid w:val="00750E69"/>
    <w:rsid w:val="007513F1"/>
    <w:rsid w:val="0076446E"/>
    <w:rsid w:val="00766F0E"/>
    <w:rsid w:val="00781E1D"/>
    <w:rsid w:val="00795B10"/>
    <w:rsid w:val="007964BA"/>
    <w:rsid w:val="007F5BA8"/>
    <w:rsid w:val="00824C64"/>
    <w:rsid w:val="008A72B9"/>
    <w:rsid w:val="008D66BC"/>
    <w:rsid w:val="00937889"/>
    <w:rsid w:val="0095339C"/>
    <w:rsid w:val="00954576"/>
    <w:rsid w:val="00982292"/>
    <w:rsid w:val="009C4399"/>
    <w:rsid w:val="009F73FE"/>
    <w:rsid w:val="00A03DAC"/>
    <w:rsid w:val="00A2530D"/>
    <w:rsid w:val="00A436F7"/>
    <w:rsid w:val="00A81834"/>
    <w:rsid w:val="00AA4EBC"/>
    <w:rsid w:val="00B025A8"/>
    <w:rsid w:val="00B04011"/>
    <w:rsid w:val="00B103D0"/>
    <w:rsid w:val="00B136DC"/>
    <w:rsid w:val="00B4089E"/>
    <w:rsid w:val="00B45547"/>
    <w:rsid w:val="00B618EC"/>
    <w:rsid w:val="00B71188"/>
    <w:rsid w:val="00B7388E"/>
    <w:rsid w:val="00B95E85"/>
    <w:rsid w:val="00BA2FA2"/>
    <w:rsid w:val="00BA5DCD"/>
    <w:rsid w:val="00BA6A10"/>
    <w:rsid w:val="00BD670B"/>
    <w:rsid w:val="00BF111F"/>
    <w:rsid w:val="00BF7D56"/>
    <w:rsid w:val="00C04114"/>
    <w:rsid w:val="00C31780"/>
    <w:rsid w:val="00C764B8"/>
    <w:rsid w:val="00CB7DBA"/>
    <w:rsid w:val="00CC5E60"/>
    <w:rsid w:val="00D1242F"/>
    <w:rsid w:val="00D1454F"/>
    <w:rsid w:val="00D24658"/>
    <w:rsid w:val="00D40668"/>
    <w:rsid w:val="00D46495"/>
    <w:rsid w:val="00D526C0"/>
    <w:rsid w:val="00D53B4F"/>
    <w:rsid w:val="00D73F28"/>
    <w:rsid w:val="00E03E06"/>
    <w:rsid w:val="00E23A45"/>
    <w:rsid w:val="00E312B6"/>
    <w:rsid w:val="00EA374C"/>
    <w:rsid w:val="00F20D47"/>
    <w:rsid w:val="00F26252"/>
    <w:rsid w:val="00F30009"/>
    <w:rsid w:val="00F329E7"/>
    <w:rsid w:val="00F537BC"/>
    <w:rsid w:val="00F73A21"/>
    <w:rsid w:val="00F90AD5"/>
    <w:rsid w:val="00FB04AD"/>
    <w:rsid w:val="00FC1F86"/>
    <w:rsid w:val="00FD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B0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2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1E1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E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C2F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2FE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81E1D"/>
    <w:rPr>
      <w:rFonts w:asciiTheme="majorHAnsi" w:eastAsiaTheme="majorEastAsia" w:hAnsiTheme="majorHAnsi" w:cstheme="majorBidi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1E1D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2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0AD5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hyperlink" Target="http://inside.michigan.gov/sites/dtmb/as/mde/MDEProjects/SecureSite/Shared%20Documents/6-Testing%20and%20Training%20Phase/MDE_BAA_Application_Review_1%20(2).do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P2009%20Boot%20SSD:Users:flaminiom:Downloads:MDE%20-%20Check%20History%20-%20Graph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Media%20RAID%20(Mirrored)/Dropbox/00-MDE-SSD/Projects/accessibility/new-upload-tracki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Media%20RAID%20(Mirrored)/Dropbox/00-MDE-SSD/Projects/accessibility/new-upload-tracking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Media%20RAID%20(Mirrored)/Dropbox/00-MDE-SSD/Projects/accessibility/new-upload-tracking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Media%20RAID%20(Mirrored)/Dropbox/00-MDE-SSD/Projects/accessibility/new-upload-track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WCAG 2.0 A &amp;</a:t>
            </a:r>
            <a:r>
              <a:rPr lang="en-US" baseline="0"/>
              <a:t> AA</a:t>
            </a:r>
            <a:r>
              <a:rPr lang="en-US"/>
              <a:t> Issues by Type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'MDE - Check History - Graph.csv'!$A$2:$A$67</c:f>
              <c:numCache>
                <c:formatCode>m/d/yy\ h:mm</c:formatCode>
                <c:ptCount val="66"/>
                <c:pt idx="0">
                  <c:v>42030.70604166658</c:v>
                </c:pt>
                <c:pt idx="1">
                  <c:v>42032.60268518519</c:v>
                </c:pt>
                <c:pt idx="2">
                  <c:v>42043.5753587963</c:v>
                </c:pt>
                <c:pt idx="3">
                  <c:v>42051.09888888889</c:v>
                </c:pt>
                <c:pt idx="4">
                  <c:v>42066.4581481482</c:v>
                </c:pt>
                <c:pt idx="5">
                  <c:v>42081.82927083332</c:v>
                </c:pt>
                <c:pt idx="6">
                  <c:v>42105.91965277777</c:v>
                </c:pt>
                <c:pt idx="7">
                  <c:v>42126.81917824073</c:v>
                </c:pt>
                <c:pt idx="8">
                  <c:v>42130.92365740741</c:v>
                </c:pt>
                <c:pt idx="9">
                  <c:v>42132.31578703703</c:v>
                </c:pt>
                <c:pt idx="10">
                  <c:v>42132.56664351852</c:v>
                </c:pt>
                <c:pt idx="11">
                  <c:v>42147.13539351852</c:v>
                </c:pt>
                <c:pt idx="12">
                  <c:v>42160.5768981482</c:v>
                </c:pt>
                <c:pt idx="13">
                  <c:v>42167.57309027778</c:v>
                </c:pt>
                <c:pt idx="14">
                  <c:v>42174.65378472218</c:v>
                </c:pt>
                <c:pt idx="15">
                  <c:v>42181.51277777777</c:v>
                </c:pt>
                <c:pt idx="16">
                  <c:v>42188.53552083319</c:v>
                </c:pt>
                <c:pt idx="17">
                  <c:v>42195.43619212963</c:v>
                </c:pt>
                <c:pt idx="18">
                  <c:v>42202.45604166666</c:v>
                </c:pt>
                <c:pt idx="19">
                  <c:v>42209.4107986111</c:v>
                </c:pt>
                <c:pt idx="20">
                  <c:v>42216.4436458332</c:v>
                </c:pt>
                <c:pt idx="21">
                  <c:v>42223.47432870371</c:v>
                </c:pt>
                <c:pt idx="22">
                  <c:v>42230.39986111107</c:v>
                </c:pt>
                <c:pt idx="23">
                  <c:v>42237.40664351852</c:v>
                </c:pt>
                <c:pt idx="24">
                  <c:v>42244.46300925926</c:v>
                </c:pt>
                <c:pt idx="25">
                  <c:v>42251.37934027778</c:v>
                </c:pt>
                <c:pt idx="26">
                  <c:v>42258.5448263889</c:v>
                </c:pt>
                <c:pt idx="27">
                  <c:v>42265.37027777777</c:v>
                </c:pt>
                <c:pt idx="28">
                  <c:v>42272.41832175926</c:v>
                </c:pt>
                <c:pt idx="29">
                  <c:v>42279.3552662037</c:v>
                </c:pt>
                <c:pt idx="30">
                  <c:v>42286.28761574074</c:v>
                </c:pt>
                <c:pt idx="31">
                  <c:v>42293.35738425926</c:v>
                </c:pt>
                <c:pt idx="32">
                  <c:v>42300.40263888888</c:v>
                </c:pt>
                <c:pt idx="33">
                  <c:v>42307.32209490741</c:v>
                </c:pt>
                <c:pt idx="34">
                  <c:v>42314.36032407407</c:v>
                </c:pt>
                <c:pt idx="35">
                  <c:v>42321.26800925926</c:v>
                </c:pt>
                <c:pt idx="36">
                  <c:v>42328.29556712959</c:v>
                </c:pt>
                <c:pt idx="37">
                  <c:v>42335.3652199074</c:v>
                </c:pt>
                <c:pt idx="38">
                  <c:v>42342.40710648148</c:v>
                </c:pt>
                <c:pt idx="39">
                  <c:v>42349.24447916666</c:v>
                </c:pt>
                <c:pt idx="40">
                  <c:v>42353.26971064815</c:v>
                </c:pt>
                <c:pt idx="41">
                  <c:v>42356.18099537037</c:v>
                </c:pt>
                <c:pt idx="42">
                  <c:v>42363.20921296296</c:v>
                </c:pt>
                <c:pt idx="43">
                  <c:v>42370.42041666667</c:v>
                </c:pt>
                <c:pt idx="44">
                  <c:v>42376.24170138888</c:v>
                </c:pt>
                <c:pt idx="45">
                  <c:v>42384.25446759259</c:v>
                </c:pt>
                <c:pt idx="46">
                  <c:v>42391.26649305555</c:v>
                </c:pt>
                <c:pt idx="47">
                  <c:v>42394.62288194444</c:v>
                </c:pt>
                <c:pt idx="48">
                  <c:v>42398.32094907407</c:v>
                </c:pt>
                <c:pt idx="49">
                  <c:v>42405.27562499999</c:v>
                </c:pt>
                <c:pt idx="50">
                  <c:v>42412.71907407407</c:v>
                </c:pt>
                <c:pt idx="51">
                  <c:v>42419.25848379629</c:v>
                </c:pt>
                <c:pt idx="52">
                  <c:v>42426.21131944444</c:v>
                </c:pt>
                <c:pt idx="53">
                  <c:v>42433.25351851852</c:v>
                </c:pt>
                <c:pt idx="54">
                  <c:v>42440.22983796296</c:v>
                </c:pt>
                <c:pt idx="55">
                  <c:v>42447.22815972222</c:v>
                </c:pt>
                <c:pt idx="56">
                  <c:v>42454.19528935185</c:v>
                </c:pt>
                <c:pt idx="57">
                  <c:v>42461.14899305555</c:v>
                </c:pt>
                <c:pt idx="58">
                  <c:v>42468.10261574074</c:v>
                </c:pt>
                <c:pt idx="59">
                  <c:v>42475.13229166667</c:v>
                </c:pt>
                <c:pt idx="60">
                  <c:v>42482.10829861111</c:v>
                </c:pt>
                <c:pt idx="61">
                  <c:v>42489.13085648148</c:v>
                </c:pt>
                <c:pt idx="62">
                  <c:v>42496.13523148148</c:v>
                </c:pt>
                <c:pt idx="63">
                  <c:v>42499.33138888889</c:v>
                </c:pt>
                <c:pt idx="64">
                  <c:v>42503.13299768518</c:v>
                </c:pt>
                <c:pt idx="65">
                  <c:v>42507.49734953698</c:v>
                </c:pt>
              </c:numCache>
            </c:numRef>
          </c:cat>
          <c:val>
            <c:numRef>
              <c:f>'MDE - Check History - Graph.csv'!$D$2:$D$67</c:f>
              <c:numCache>
                <c:formatCode>General</c:formatCode>
                <c:ptCount val="66"/>
                <c:pt idx="0">
                  <c:v>46.0</c:v>
                </c:pt>
                <c:pt idx="1">
                  <c:v>47.0</c:v>
                </c:pt>
                <c:pt idx="2">
                  <c:v>43.0</c:v>
                </c:pt>
                <c:pt idx="3">
                  <c:v>46.0</c:v>
                </c:pt>
                <c:pt idx="4">
                  <c:v>47.0</c:v>
                </c:pt>
                <c:pt idx="5">
                  <c:v>48.0</c:v>
                </c:pt>
                <c:pt idx="6">
                  <c:v>47.0</c:v>
                </c:pt>
                <c:pt idx="7">
                  <c:v>43.0</c:v>
                </c:pt>
                <c:pt idx="8">
                  <c:v>43.0</c:v>
                </c:pt>
                <c:pt idx="9">
                  <c:v>43.0</c:v>
                </c:pt>
                <c:pt idx="10">
                  <c:v>35.0</c:v>
                </c:pt>
                <c:pt idx="11">
                  <c:v>27.0</c:v>
                </c:pt>
                <c:pt idx="12">
                  <c:v>19.0</c:v>
                </c:pt>
                <c:pt idx="13">
                  <c:v>20.0</c:v>
                </c:pt>
                <c:pt idx="14">
                  <c:v>20.0</c:v>
                </c:pt>
                <c:pt idx="15">
                  <c:v>24.0</c:v>
                </c:pt>
                <c:pt idx="16">
                  <c:v>20.0</c:v>
                </c:pt>
                <c:pt idx="17">
                  <c:v>21.0</c:v>
                </c:pt>
                <c:pt idx="18">
                  <c:v>22.0</c:v>
                </c:pt>
                <c:pt idx="19">
                  <c:v>20.0</c:v>
                </c:pt>
                <c:pt idx="20">
                  <c:v>23.0</c:v>
                </c:pt>
                <c:pt idx="21">
                  <c:v>21.0</c:v>
                </c:pt>
                <c:pt idx="22">
                  <c:v>22.0</c:v>
                </c:pt>
                <c:pt idx="23">
                  <c:v>22.0</c:v>
                </c:pt>
                <c:pt idx="24">
                  <c:v>22.0</c:v>
                </c:pt>
                <c:pt idx="25">
                  <c:v>13.0</c:v>
                </c:pt>
                <c:pt idx="26">
                  <c:v>9.0</c:v>
                </c:pt>
                <c:pt idx="27">
                  <c:v>12.0</c:v>
                </c:pt>
                <c:pt idx="28">
                  <c:v>16.0</c:v>
                </c:pt>
                <c:pt idx="29">
                  <c:v>12.0</c:v>
                </c:pt>
                <c:pt idx="30">
                  <c:v>15.0</c:v>
                </c:pt>
                <c:pt idx="31">
                  <c:v>12.0</c:v>
                </c:pt>
                <c:pt idx="32">
                  <c:v>11.0</c:v>
                </c:pt>
                <c:pt idx="33">
                  <c:v>12.0</c:v>
                </c:pt>
                <c:pt idx="34">
                  <c:v>10.0</c:v>
                </c:pt>
                <c:pt idx="35">
                  <c:v>8.0</c:v>
                </c:pt>
                <c:pt idx="36">
                  <c:v>7.0</c:v>
                </c:pt>
                <c:pt idx="37">
                  <c:v>12.0</c:v>
                </c:pt>
                <c:pt idx="38">
                  <c:v>11.0</c:v>
                </c:pt>
                <c:pt idx="39">
                  <c:v>11.0</c:v>
                </c:pt>
                <c:pt idx="40">
                  <c:v>17.0</c:v>
                </c:pt>
                <c:pt idx="41">
                  <c:v>15.0</c:v>
                </c:pt>
                <c:pt idx="42">
                  <c:v>12.0</c:v>
                </c:pt>
                <c:pt idx="43">
                  <c:v>15.0</c:v>
                </c:pt>
                <c:pt idx="44">
                  <c:v>8.0</c:v>
                </c:pt>
                <c:pt idx="45">
                  <c:v>12.0</c:v>
                </c:pt>
                <c:pt idx="46">
                  <c:v>7.0</c:v>
                </c:pt>
                <c:pt idx="47">
                  <c:v>4.0</c:v>
                </c:pt>
                <c:pt idx="48">
                  <c:v>9.0</c:v>
                </c:pt>
                <c:pt idx="49">
                  <c:v>6.0</c:v>
                </c:pt>
                <c:pt idx="50">
                  <c:v>4.0</c:v>
                </c:pt>
                <c:pt idx="51">
                  <c:v>9.0</c:v>
                </c:pt>
                <c:pt idx="52">
                  <c:v>8.0</c:v>
                </c:pt>
                <c:pt idx="53">
                  <c:v>7.0</c:v>
                </c:pt>
                <c:pt idx="54">
                  <c:v>12.0</c:v>
                </c:pt>
                <c:pt idx="55">
                  <c:v>9.0</c:v>
                </c:pt>
                <c:pt idx="56">
                  <c:v>7.0</c:v>
                </c:pt>
                <c:pt idx="57">
                  <c:v>7.0</c:v>
                </c:pt>
                <c:pt idx="58">
                  <c:v>9.0</c:v>
                </c:pt>
                <c:pt idx="59">
                  <c:v>9.0</c:v>
                </c:pt>
                <c:pt idx="60">
                  <c:v>10.0</c:v>
                </c:pt>
                <c:pt idx="61">
                  <c:v>11.0</c:v>
                </c:pt>
                <c:pt idx="62">
                  <c:v>15.0</c:v>
                </c:pt>
                <c:pt idx="63">
                  <c:v>10.0</c:v>
                </c:pt>
                <c:pt idx="64">
                  <c:v>11.0</c:v>
                </c:pt>
                <c:pt idx="65">
                  <c:v>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12567008"/>
        <c:axId val="1812569024"/>
      </c:lineChart>
      <c:dateAx>
        <c:axId val="1812567008"/>
        <c:scaling>
          <c:orientation val="minMax"/>
        </c:scaling>
        <c:delete val="0"/>
        <c:axPos val="b"/>
        <c:numFmt formatCode="m/d/yy\ h:mm" sourceLinked="1"/>
        <c:majorTickMark val="out"/>
        <c:minorTickMark val="none"/>
        <c:tickLblPos val="nextTo"/>
        <c:crossAx val="1812569024"/>
        <c:crosses val="autoZero"/>
        <c:auto val="1"/>
        <c:lblOffset val="100"/>
        <c:baseTimeUnit val="days"/>
      </c:dateAx>
      <c:valAx>
        <c:axId val="181256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2567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WCAG 2.0 A &amp; AA Errors by Pages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Webpages!$B$13</c:f>
              <c:strCache>
                <c:ptCount val="1"/>
                <c:pt idx="0">
                  <c:v>Errors</c:v>
                </c:pt>
              </c:strCache>
            </c:strRef>
          </c:tx>
          <c:marker>
            <c:symbol val="none"/>
          </c:marker>
          <c:cat>
            <c:numRef>
              <c:f>Webpages!$A$15:$A$62</c:f>
              <c:numCache>
                <c:formatCode>m/d/yy</c:formatCode>
                <c:ptCount val="48"/>
                <c:pt idx="0">
                  <c:v>42160.0</c:v>
                </c:pt>
                <c:pt idx="1">
                  <c:v>42167.0</c:v>
                </c:pt>
                <c:pt idx="2">
                  <c:v>42174.0</c:v>
                </c:pt>
                <c:pt idx="3">
                  <c:v>42181.0</c:v>
                </c:pt>
                <c:pt idx="4">
                  <c:v>42188.0</c:v>
                </c:pt>
                <c:pt idx="5">
                  <c:v>42195.0</c:v>
                </c:pt>
                <c:pt idx="6">
                  <c:v>42202.0</c:v>
                </c:pt>
                <c:pt idx="7">
                  <c:v>42209.0</c:v>
                </c:pt>
                <c:pt idx="8">
                  <c:v>42216.0</c:v>
                </c:pt>
                <c:pt idx="9">
                  <c:v>42223.0</c:v>
                </c:pt>
                <c:pt idx="10">
                  <c:v>42230.0</c:v>
                </c:pt>
                <c:pt idx="11">
                  <c:v>42237.0</c:v>
                </c:pt>
                <c:pt idx="12">
                  <c:v>42244.0</c:v>
                </c:pt>
                <c:pt idx="13">
                  <c:v>42251.0</c:v>
                </c:pt>
                <c:pt idx="14">
                  <c:v>42258.0</c:v>
                </c:pt>
                <c:pt idx="15">
                  <c:v>42265.0</c:v>
                </c:pt>
                <c:pt idx="16">
                  <c:v>42272.0</c:v>
                </c:pt>
                <c:pt idx="17">
                  <c:v>42279.0</c:v>
                </c:pt>
                <c:pt idx="18">
                  <c:v>42286.0</c:v>
                </c:pt>
                <c:pt idx="19">
                  <c:v>42293.0</c:v>
                </c:pt>
                <c:pt idx="20">
                  <c:v>42300.0</c:v>
                </c:pt>
                <c:pt idx="21">
                  <c:v>42307.0</c:v>
                </c:pt>
                <c:pt idx="22">
                  <c:v>42314.0</c:v>
                </c:pt>
                <c:pt idx="23">
                  <c:v>42321.0</c:v>
                </c:pt>
                <c:pt idx="24">
                  <c:v>42328.0</c:v>
                </c:pt>
                <c:pt idx="25">
                  <c:v>42335.0</c:v>
                </c:pt>
                <c:pt idx="26">
                  <c:v>42342.0</c:v>
                </c:pt>
                <c:pt idx="27">
                  <c:v>42384.0</c:v>
                </c:pt>
                <c:pt idx="28">
                  <c:v>42391.0</c:v>
                </c:pt>
                <c:pt idx="29">
                  <c:v>42398.0</c:v>
                </c:pt>
                <c:pt idx="30">
                  <c:v>42405.0</c:v>
                </c:pt>
                <c:pt idx="31">
                  <c:v>42412.0</c:v>
                </c:pt>
                <c:pt idx="32">
                  <c:v>42419.0</c:v>
                </c:pt>
                <c:pt idx="33">
                  <c:v>42426.0</c:v>
                </c:pt>
                <c:pt idx="34">
                  <c:v>42433.0</c:v>
                </c:pt>
                <c:pt idx="35">
                  <c:v>42440.0</c:v>
                </c:pt>
                <c:pt idx="36">
                  <c:v>42447.0</c:v>
                </c:pt>
                <c:pt idx="37">
                  <c:v>42454.0</c:v>
                </c:pt>
                <c:pt idx="38">
                  <c:v>42461.0</c:v>
                </c:pt>
                <c:pt idx="39">
                  <c:v>42468.0</c:v>
                </c:pt>
                <c:pt idx="40">
                  <c:v>42475.0</c:v>
                </c:pt>
                <c:pt idx="41">
                  <c:v>42482.0</c:v>
                </c:pt>
                <c:pt idx="42">
                  <c:v>42489.0</c:v>
                </c:pt>
                <c:pt idx="43">
                  <c:v>42496.0</c:v>
                </c:pt>
                <c:pt idx="44">
                  <c:v>42503.0</c:v>
                </c:pt>
                <c:pt idx="45">
                  <c:v>42510.0</c:v>
                </c:pt>
                <c:pt idx="46">
                  <c:v>42517.0</c:v>
                </c:pt>
                <c:pt idx="47">
                  <c:v>42524.0</c:v>
                </c:pt>
              </c:numCache>
            </c:numRef>
          </c:cat>
          <c:val>
            <c:numRef>
              <c:f>Webpages!$B$15:$B$62</c:f>
              <c:numCache>
                <c:formatCode>General</c:formatCode>
                <c:ptCount val="48"/>
                <c:pt idx="0">
                  <c:v>769.0</c:v>
                </c:pt>
                <c:pt idx="1">
                  <c:v>530.0</c:v>
                </c:pt>
                <c:pt idx="2">
                  <c:v>224.0</c:v>
                </c:pt>
                <c:pt idx="3">
                  <c:v>136.0</c:v>
                </c:pt>
                <c:pt idx="4">
                  <c:v>111.0</c:v>
                </c:pt>
                <c:pt idx="5">
                  <c:v>44.0</c:v>
                </c:pt>
                <c:pt idx="6">
                  <c:v>36.0</c:v>
                </c:pt>
                <c:pt idx="7">
                  <c:v>47.0</c:v>
                </c:pt>
                <c:pt idx="8">
                  <c:v>48.0</c:v>
                </c:pt>
                <c:pt idx="9">
                  <c:v>17.0</c:v>
                </c:pt>
                <c:pt idx="10">
                  <c:v>24.0</c:v>
                </c:pt>
                <c:pt idx="11">
                  <c:v>21.0</c:v>
                </c:pt>
                <c:pt idx="12">
                  <c:v>43.0</c:v>
                </c:pt>
                <c:pt idx="13">
                  <c:v>19.0</c:v>
                </c:pt>
                <c:pt idx="14">
                  <c:v>7.0</c:v>
                </c:pt>
                <c:pt idx="15">
                  <c:v>18.0</c:v>
                </c:pt>
                <c:pt idx="16">
                  <c:v>28.0</c:v>
                </c:pt>
                <c:pt idx="17">
                  <c:v>12.0</c:v>
                </c:pt>
                <c:pt idx="18">
                  <c:v>36.0</c:v>
                </c:pt>
                <c:pt idx="19">
                  <c:v>23.0</c:v>
                </c:pt>
                <c:pt idx="20">
                  <c:v>13.0</c:v>
                </c:pt>
                <c:pt idx="21">
                  <c:v>18.0</c:v>
                </c:pt>
                <c:pt idx="22">
                  <c:v>12.0</c:v>
                </c:pt>
                <c:pt idx="23">
                  <c:v>6.0</c:v>
                </c:pt>
                <c:pt idx="24">
                  <c:v>7.0</c:v>
                </c:pt>
                <c:pt idx="25">
                  <c:v>11.0</c:v>
                </c:pt>
                <c:pt idx="26">
                  <c:v>10.0</c:v>
                </c:pt>
                <c:pt idx="27">
                  <c:v>42.0</c:v>
                </c:pt>
                <c:pt idx="28">
                  <c:v>12.0</c:v>
                </c:pt>
                <c:pt idx="29">
                  <c:v>6.0</c:v>
                </c:pt>
                <c:pt idx="30">
                  <c:v>14.0</c:v>
                </c:pt>
                <c:pt idx="31">
                  <c:v>11.0</c:v>
                </c:pt>
                <c:pt idx="32">
                  <c:v>11.0</c:v>
                </c:pt>
                <c:pt idx="33">
                  <c:v>9.0</c:v>
                </c:pt>
                <c:pt idx="34">
                  <c:v>11.0</c:v>
                </c:pt>
                <c:pt idx="35">
                  <c:v>7.0</c:v>
                </c:pt>
                <c:pt idx="36">
                  <c:v>2.0</c:v>
                </c:pt>
                <c:pt idx="37">
                  <c:v>0.0</c:v>
                </c:pt>
                <c:pt idx="38">
                  <c:v>0.0</c:v>
                </c:pt>
                <c:pt idx="39">
                  <c:v>3.0</c:v>
                </c:pt>
                <c:pt idx="40">
                  <c:v>3.0</c:v>
                </c:pt>
                <c:pt idx="41">
                  <c:v>8.0</c:v>
                </c:pt>
                <c:pt idx="42">
                  <c:v>6.0</c:v>
                </c:pt>
                <c:pt idx="43">
                  <c:v>12.0</c:v>
                </c:pt>
                <c:pt idx="44">
                  <c:v>2.0</c:v>
                </c:pt>
                <c:pt idx="45">
                  <c:v>6.0</c:v>
                </c:pt>
                <c:pt idx="46">
                  <c:v>4.0</c:v>
                </c:pt>
                <c:pt idx="47">
                  <c:v>25.0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12557760"/>
        <c:axId val="1812560608"/>
      </c:lineChart>
      <c:dateAx>
        <c:axId val="1812557760"/>
        <c:scaling>
          <c:orientation val="minMax"/>
        </c:scaling>
        <c:delete val="0"/>
        <c:axPos val="b"/>
        <c:numFmt formatCode="m/d/yy" sourceLinked="1"/>
        <c:majorTickMark val="out"/>
        <c:minorTickMark val="none"/>
        <c:tickLblPos val="nextTo"/>
        <c:crossAx val="1812560608"/>
        <c:crosses val="autoZero"/>
        <c:auto val="1"/>
        <c:lblOffset val="100"/>
        <c:baseTimeUnit val="days"/>
      </c:dateAx>
      <c:valAx>
        <c:axId val="181256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255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lang="ja-JP"/>
            </a:pPr>
            <a:r>
              <a:rPr lang="en-US"/>
              <a:t>Inventory of Inaccessible PDFs</a:t>
            </a:r>
          </a:p>
          <a:p>
            <a:pPr>
              <a:defRPr lang="ja-JP"/>
            </a:pPr>
            <a:r>
              <a:rPr lang="en-US">
                <a:solidFill>
                  <a:srgbClr val="FF0000"/>
                </a:solidFill>
              </a:rPr>
              <a:t>Burn Down</a:t>
            </a:r>
            <a:r>
              <a:rPr lang="en-US" baseline="0">
                <a:solidFill>
                  <a:srgbClr val="FF0000"/>
                </a:solidFill>
              </a:rPr>
              <a:t> </a:t>
            </a:r>
            <a:r>
              <a:rPr lang="en-US">
                <a:solidFill>
                  <a:srgbClr val="FF0000"/>
                </a:solidFill>
              </a:rPr>
              <a:t>Deadline: 3/31/17</a:t>
            </a:r>
            <a:r>
              <a:rPr lang="en-US" baseline="0">
                <a:solidFill>
                  <a:srgbClr val="FF0000"/>
                </a:solidFill>
              </a:rPr>
              <a:t> </a:t>
            </a:r>
            <a:endParaRPr lang="en-US" baseline="0">
              <a:solidFill>
                <a:srgbClr val="008000"/>
              </a:solidFill>
            </a:endParaRPr>
          </a:p>
          <a:p>
            <a:pPr>
              <a:defRPr lang="ja-JP"/>
            </a:pPr>
            <a:r>
              <a:rPr lang="en-US" baseline="0">
                <a:solidFill>
                  <a:srgbClr val="008000"/>
                </a:solidFill>
              </a:rPr>
              <a:t>Trending Date: 3/11/17 (last 20 weeks)</a:t>
            </a:r>
            <a:endParaRPr lang="en-US">
              <a:solidFill>
                <a:srgbClr val="008000"/>
              </a:solidFill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rgbClr val="008000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name>Tend</c:name>
            <c:spPr>
              <a:effectLst/>
            </c:spPr>
            <c:trendlineType val="linear"/>
            <c:dispRSqr val="0"/>
            <c:dispEq val="0"/>
          </c:trendline>
          <c:cat>
            <c:numRef>
              <c:f>'All PDFs Month'!$A$2:$A$54</c:f>
              <c:numCache>
                <c:formatCode>m/d/yy</c:formatCode>
                <c:ptCount val="53"/>
                <c:pt idx="0">
                  <c:v>42160.0</c:v>
                </c:pt>
                <c:pt idx="1">
                  <c:v>42167.0</c:v>
                </c:pt>
                <c:pt idx="2">
                  <c:v>42174.0</c:v>
                </c:pt>
                <c:pt idx="3">
                  <c:v>42181.0</c:v>
                </c:pt>
                <c:pt idx="4">
                  <c:v>42188.0</c:v>
                </c:pt>
                <c:pt idx="5">
                  <c:v>42195.0</c:v>
                </c:pt>
                <c:pt idx="6">
                  <c:v>42202.0</c:v>
                </c:pt>
                <c:pt idx="7">
                  <c:v>42209.0</c:v>
                </c:pt>
                <c:pt idx="8">
                  <c:v>42216.0</c:v>
                </c:pt>
                <c:pt idx="9">
                  <c:v>42223.0</c:v>
                </c:pt>
                <c:pt idx="10">
                  <c:v>42230.0</c:v>
                </c:pt>
                <c:pt idx="11">
                  <c:v>42237.0</c:v>
                </c:pt>
                <c:pt idx="12">
                  <c:v>42244.0</c:v>
                </c:pt>
                <c:pt idx="13">
                  <c:v>42251.0</c:v>
                </c:pt>
                <c:pt idx="14">
                  <c:v>42258.0</c:v>
                </c:pt>
                <c:pt idx="15">
                  <c:v>42265.0</c:v>
                </c:pt>
                <c:pt idx="16">
                  <c:v>42272.0</c:v>
                </c:pt>
                <c:pt idx="17">
                  <c:v>42279.0</c:v>
                </c:pt>
                <c:pt idx="18">
                  <c:v>42286.0</c:v>
                </c:pt>
                <c:pt idx="19">
                  <c:v>42293.0</c:v>
                </c:pt>
                <c:pt idx="20">
                  <c:v>42300.0</c:v>
                </c:pt>
                <c:pt idx="21">
                  <c:v>42307.0</c:v>
                </c:pt>
                <c:pt idx="22">
                  <c:v>42314.0</c:v>
                </c:pt>
                <c:pt idx="23">
                  <c:v>42321.0</c:v>
                </c:pt>
                <c:pt idx="24">
                  <c:v>42328.0</c:v>
                </c:pt>
                <c:pt idx="25">
                  <c:v>42335.0</c:v>
                </c:pt>
                <c:pt idx="26">
                  <c:v>42342.0</c:v>
                </c:pt>
                <c:pt idx="27">
                  <c:v>42349.0</c:v>
                </c:pt>
                <c:pt idx="28">
                  <c:v>42356.0</c:v>
                </c:pt>
                <c:pt idx="29">
                  <c:v>42363.0</c:v>
                </c:pt>
                <c:pt idx="30">
                  <c:v>42370.0</c:v>
                </c:pt>
                <c:pt idx="31">
                  <c:v>42377.0</c:v>
                </c:pt>
                <c:pt idx="32">
                  <c:v>42384.0</c:v>
                </c:pt>
                <c:pt idx="33">
                  <c:v>42391.0</c:v>
                </c:pt>
                <c:pt idx="34">
                  <c:v>42398.0</c:v>
                </c:pt>
                <c:pt idx="35">
                  <c:v>42405.0</c:v>
                </c:pt>
                <c:pt idx="36">
                  <c:v>42412.0</c:v>
                </c:pt>
                <c:pt idx="37">
                  <c:v>42419.0</c:v>
                </c:pt>
                <c:pt idx="38">
                  <c:v>42426.0</c:v>
                </c:pt>
                <c:pt idx="39">
                  <c:v>42433.0</c:v>
                </c:pt>
                <c:pt idx="40">
                  <c:v>42440.0</c:v>
                </c:pt>
                <c:pt idx="41">
                  <c:v>42447.0</c:v>
                </c:pt>
                <c:pt idx="42">
                  <c:v>42454.0</c:v>
                </c:pt>
                <c:pt idx="43">
                  <c:v>42461.0</c:v>
                </c:pt>
                <c:pt idx="44">
                  <c:v>42468.0</c:v>
                </c:pt>
                <c:pt idx="45">
                  <c:v>42475.0</c:v>
                </c:pt>
                <c:pt idx="46">
                  <c:v>42482.0</c:v>
                </c:pt>
                <c:pt idx="47">
                  <c:v>42489.0</c:v>
                </c:pt>
                <c:pt idx="48">
                  <c:v>42496.0</c:v>
                </c:pt>
                <c:pt idx="49">
                  <c:v>42503.0</c:v>
                </c:pt>
                <c:pt idx="50">
                  <c:v>42510.0</c:v>
                </c:pt>
                <c:pt idx="51">
                  <c:v>42517.0</c:v>
                </c:pt>
                <c:pt idx="52">
                  <c:v>42524.0</c:v>
                </c:pt>
              </c:numCache>
            </c:numRef>
          </c:cat>
          <c:val>
            <c:numRef>
              <c:f>'All PDFs Month'!$B$2:$B$54</c:f>
              <c:numCache>
                <c:formatCode>0</c:formatCode>
                <c:ptCount val="53"/>
                <c:pt idx="0">
                  <c:v>8160.0</c:v>
                </c:pt>
                <c:pt idx="1">
                  <c:v>8134.0</c:v>
                </c:pt>
                <c:pt idx="2">
                  <c:v>8132.0</c:v>
                </c:pt>
                <c:pt idx="3">
                  <c:v>8114.0</c:v>
                </c:pt>
                <c:pt idx="4">
                  <c:v>8120.0</c:v>
                </c:pt>
                <c:pt idx="5">
                  <c:v>7646.0</c:v>
                </c:pt>
                <c:pt idx="6">
                  <c:v>7382.0</c:v>
                </c:pt>
                <c:pt idx="7">
                  <c:v>7104.0</c:v>
                </c:pt>
                <c:pt idx="8">
                  <c:v>6984.0</c:v>
                </c:pt>
                <c:pt idx="9">
                  <c:v>7010.0</c:v>
                </c:pt>
                <c:pt idx="10">
                  <c:v>6535.0</c:v>
                </c:pt>
                <c:pt idx="11">
                  <c:v>6364.0</c:v>
                </c:pt>
                <c:pt idx="12">
                  <c:v>6132.0</c:v>
                </c:pt>
                <c:pt idx="13">
                  <c:v>6125.0</c:v>
                </c:pt>
                <c:pt idx="14">
                  <c:v>5808.0</c:v>
                </c:pt>
                <c:pt idx="15">
                  <c:v>5703.0</c:v>
                </c:pt>
                <c:pt idx="16">
                  <c:v>5667.0</c:v>
                </c:pt>
                <c:pt idx="17">
                  <c:v>5586.0</c:v>
                </c:pt>
                <c:pt idx="18">
                  <c:v>5597.0</c:v>
                </c:pt>
                <c:pt idx="19">
                  <c:v>5542.0</c:v>
                </c:pt>
                <c:pt idx="20">
                  <c:v>5552.0</c:v>
                </c:pt>
                <c:pt idx="21">
                  <c:v>5555.0</c:v>
                </c:pt>
                <c:pt idx="22">
                  <c:v>5531.0</c:v>
                </c:pt>
                <c:pt idx="23">
                  <c:v>5485.0</c:v>
                </c:pt>
                <c:pt idx="24">
                  <c:v>5451.0</c:v>
                </c:pt>
                <c:pt idx="25">
                  <c:v>5401.0</c:v>
                </c:pt>
                <c:pt idx="26">
                  <c:v>5411.0</c:v>
                </c:pt>
                <c:pt idx="27">
                  <c:v>5261.0</c:v>
                </c:pt>
                <c:pt idx="28">
                  <c:v>5111.0</c:v>
                </c:pt>
                <c:pt idx="29">
                  <c:v>4961.0</c:v>
                </c:pt>
                <c:pt idx="30">
                  <c:v>4811.0</c:v>
                </c:pt>
                <c:pt idx="31">
                  <c:v>4661.0</c:v>
                </c:pt>
                <c:pt idx="32">
                  <c:v>4511.0</c:v>
                </c:pt>
                <c:pt idx="33">
                  <c:v>4037.0</c:v>
                </c:pt>
                <c:pt idx="34">
                  <c:v>4034.0</c:v>
                </c:pt>
                <c:pt idx="35">
                  <c:v>3994.0</c:v>
                </c:pt>
                <c:pt idx="36">
                  <c:v>3833.0</c:v>
                </c:pt>
                <c:pt idx="37">
                  <c:v>3704.0</c:v>
                </c:pt>
                <c:pt idx="38">
                  <c:v>3610.0</c:v>
                </c:pt>
                <c:pt idx="39">
                  <c:v>3538.0</c:v>
                </c:pt>
                <c:pt idx="40">
                  <c:v>3479.0</c:v>
                </c:pt>
                <c:pt idx="41">
                  <c:v>3406.0</c:v>
                </c:pt>
                <c:pt idx="42">
                  <c:v>3279.0</c:v>
                </c:pt>
                <c:pt idx="43">
                  <c:v>3063.0</c:v>
                </c:pt>
                <c:pt idx="44">
                  <c:v>2796.0</c:v>
                </c:pt>
                <c:pt idx="45">
                  <c:v>2748.0</c:v>
                </c:pt>
                <c:pt idx="46">
                  <c:v>2696.0</c:v>
                </c:pt>
                <c:pt idx="47">
                  <c:v>2573.0</c:v>
                </c:pt>
                <c:pt idx="48">
                  <c:v>2529.0</c:v>
                </c:pt>
                <c:pt idx="49">
                  <c:v>2516.0</c:v>
                </c:pt>
                <c:pt idx="50">
                  <c:v>2420.0</c:v>
                </c:pt>
                <c:pt idx="51">
                  <c:v>2241.0</c:v>
                </c:pt>
                <c:pt idx="52">
                  <c:v>2254.0</c:v>
                </c:pt>
              </c:numCache>
            </c:numRef>
          </c:val>
          <c:smooth val="0"/>
        </c:ser>
        <c:ser>
          <c:idx val="1"/>
          <c:order val="1"/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'All PDFs Month'!$A$2:$A$54</c:f>
              <c:numCache>
                <c:formatCode>m/d/yy</c:formatCode>
                <c:ptCount val="53"/>
                <c:pt idx="0">
                  <c:v>42160.0</c:v>
                </c:pt>
                <c:pt idx="1">
                  <c:v>42167.0</c:v>
                </c:pt>
                <c:pt idx="2">
                  <c:v>42174.0</c:v>
                </c:pt>
                <c:pt idx="3">
                  <c:v>42181.0</c:v>
                </c:pt>
                <c:pt idx="4">
                  <c:v>42188.0</c:v>
                </c:pt>
                <c:pt idx="5">
                  <c:v>42195.0</c:v>
                </c:pt>
                <c:pt idx="6">
                  <c:v>42202.0</c:v>
                </c:pt>
                <c:pt idx="7">
                  <c:v>42209.0</c:v>
                </c:pt>
                <c:pt idx="8">
                  <c:v>42216.0</c:v>
                </c:pt>
                <c:pt idx="9">
                  <c:v>42223.0</c:v>
                </c:pt>
                <c:pt idx="10">
                  <c:v>42230.0</c:v>
                </c:pt>
                <c:pt idx="11">
                  <c:v>42237.0</c:v>
                </c:pt>
                <c:pt idx="12">
                  <c:v>42244.0</c:v>
                </c:pt>
                <c:pt idx="13">
                  <c:v>42251.0</c:v>
                </c:pt>
                <c:pt idx="14">
                  <c:v>42258.0</c:v>
                </c:pt>
                <c:pt idx="15">
                  <c:v>42265.0</c:v>
                </c:pt>
                <c:pt idx="16">
                  <c:v>42272.0</c:v>
                </c:pt>
                <c:pt idx="17">
                  <c:v>42279.0</c:v>
                </c:pt>
                <c:pt idx="18">
                  <c:v>42286.0</c:v>
                </c:pt>
                <c:pt idx="19">
                  <c:v>42293.0</c:v>
                </c:pt>
                <c:pt idx="20">
                  <c:v>42300.0</c:v>
                </c:pt>
                <c:pt idx="21">
                  <c:v>42307.0</c:v>
                </c:pt>
                <c:pt idx="22">
                  <c:v>42314.0</c:v>
                </c:pt>
                <c:pt idx="23">
                  <c:v>42321.0</c:v>
                </c:pt>
                <c:pt idx="24">
                  <c:v>42328.0</c:v>
                </c:pt>
                <c:pt idx="25">
                  <c:v>42335.0</c:v>
                </c:pt>
                <c:pt idx="26">
                  <c:v>42342.0</c:v>
                </c:pt>
                <c:pt idx="27">
                  <c:v>42349.0</c:v>
                </c:pt>
                <c:pt idx="28">
                  <c:v>42356.0</c:v>
                </c:pt>
                <c:pt idx="29">
                  <c:v>42363.0</c:v>
                </c:pt>
                <c:pt idx="30">
                  <c:v>42370.0</c:v>
                </c:pt>
                <c:pt idx="31">
                  <c:v>42377.0</c:v>
                </c:pt>
                <c:pt idx="32">
                  <c:v>42384.0</c:v>
                </c:pt>
                <c:pt idx="33">
                  <c:v>42391.0</c:v>
                </c:pt>
                <c:pt idx="34">
                  <c:v>42398.0</c:v>
                </c:pt>
                <c:pt idx="35">
                  <c:v>42405.0</c:v>
                </c:pt>
                <c:pt idx="36">
                  <c:v>42412.0</c:v>
                </c:pt>
                <c:pt idx="37">
                  <c:v>42419.0</c:v>
                </c:pt>
                <c:pt idx="38">
                  <c:v>42426.0</c:v>
                </c:pt>
                <c:pt idx="39">
                  <c:v>42433.0</c:v>
                </c:pt>
                <c:pt idx="40">
                  <c:v>42440.0</c:v>
                </c:pt>
                <c:pt idx="41">
                  <c:v>42447.0</c:v>
                </c:pt>
                <c:pt idx="42">
                  <c:v>42454.0</c:v>
                </c:pt>
                <c:pt idx="43">
                  <c:v>42461.0</c:v>
                </c:pt>
                <c:pt idx="44">
                  <c:v>42468.0</c:v>
                </c:pt>
                <c:pt idx="45">
                  <c:v>42475.0</c:v>
                </c:pt>
                <c:pt idx="46">
                  <c:v>42482.0</c:v>
                </c:pt>
                <c:pt idx="47">
                  <c:v>42489.0</c:v>
                </c:pt>
                <c:pt idx="48">
                  <c:v>42496.0</c:v>
                </c:pt>
                <c:pt idx="49">
                  <c:v>42503.0</c:v>
                </c:pt>
                <c:pt idx="50">
                  <c:v>42510.0</c:v>
                </c:pt>
                <c:pt idx="51">
                  <c:v>42517.0</c:v>
                </c:pt>
                <c:pt idx="52">
                  <c:v>42524.0</c:v>
                </c:pt>
              </c:numCache>
            </c:numRef>
          </c:cat>
          <c:val>
            <c:numRef>
              <c:f>'All PDFs Month'!$C$2:$C$54</c:f>
              <c:numCache>
                <c:formatCode>0</c:formatCode>
                <c:ptCount val="53"/>
                <c:pt idx="0">
                  <c:v>8160.0</c:v>
                </c:pt>
                <c:pt idx="1">
                  <c:v>8074.105263157896</c:v>
                </c:pt>
                <c:pt idx="2">
                  <c:v>7988.21052631579</c:v>
                </c:pt>
                <c:pt idx="3">
                  <c:v>7902.315789473685</c:v>
                </c:pt>
                <c:pt idx="4">
                  <c:v>7816.42105263158</c:v>
                </c:pt>
                <c:pt idx="5">
                  <c:v>7730.526315789473</c:v>
                </c:pt>
                <c:pt idx="6">
                  <c:v>7644.631578947368</c:v>
                </c:pt>
                <c:pt idx="7">
                  <c:v>7558.736842105262</c:v>
                </c:pt>
                <c:pt idx="8">
                  <c:v>7472.842105263158</c:v>
                </c:pt>
                <c:pt idx="9">
                  <c:v>7386.947368421052</c:v>
                </c:pt>
                <c:pt idx="10">
                  <c:v>7301.052631578948</c:v>
                </c:pt>
                <c:pt idx="11">
                  <c:v>7215.157894736842</c:v>
                </c:pt>
                <c:pt idx="12">
                  <c:v>7129.263157894737</c:v>
                </c:pt>
                <c:pt idx="13">
                  <c:v>7043.36842105263</c:v>
                </c:pt>
                <c:pt idx="14">
                  <c:v>6957.473684210526</c:v>
                </c:pt>
                <c:pt idx="15">
                  <c:v>6871.578947368419</c:v>
                </c:pt>
                <c:pt idx="16">
                  <c:v>6785.684210526315</c:v>
                </c:pt>
                <c:pt idx="17">
                  <c:v>6699.78947368421</c:v>
                </c:pt>
                <c:pt idx="18">
                  <c:v>6613.894736842104</c:v>
                </c:pt>
                <c:pt idx="19">
                  <c:v>6528.0</c:v>
                </c:pt>
                <c:pt idx="20">
                  <c:v>6442.105263157895</c:v>
                </c:pt>
                <c:pt idx="21">
                  <c:v>6356.21052631579</c:v>
                </c:pt>
                <c:pt idx="22">
                  <c:v>6270.315789473684</c:v>
                </c:pt>
                <c:pt idx="23">
                  <c:v>6184.421052631578</c:v>
                </c:pt>
                <c:pt idx="24">
                  <c:v>6098.526315789473</c:v>
                </c:pt>
                <c:pt idx="25">
                  <c:v>6012.631578947367</c:v>
                </c:pt>
                <c:pt idx="26">
                  <c:v>5926.736842105262</c:v>
                </c:pt>
                <c:pt idx="27">
                  <c:v>5840.842105263157</c:v>
                </c:pt>
                <c:pt idx="28">
                  <c:v>5754.947368421052</c:v>
                </c:pt>
                <c:pt idx="29">
                  <c:v>5669.052631578948</c:v>
                </c:pt>
                <c:pt idx="30">
                  <c:v>5583.157894736841</c:v>
                </c:pt>
                <c:pt idx="31">
                  <c:v>5497.263157894736</c:v>
                </c:pt>
                <c:pt idx="32">
                  <c:v>5411.36842105263</c:v>
                </c:pt>
                <c:pt idx="33">
                  <c:v>5325.473684210524</c:v>
                </c:pt>
                <c:pt idx="34">
                  <c:v>5239.578947368419</c:v>
                </c:pt>
                <c:pt idx="35">
                  <c:v>5153.684210526315</c:v>
                </c:pt>
                <c:pt idx="36">
                  <c:v>5067.78947368421</c:v>
                </c:pt>
                <c:pt idx="37">
                  <c:v>4981.894736842102</c:v>
                </c:pt>
                <c:pt idx="38">
                  <c:v>4895.999999999998</c:v>
                </c:pt>
                <c:pt idx="39">
                  <c:v>4810.105263157895</c:v>
                </c:pt>
                <c:pt idx="40">
                  <c:v>4724.21052631579</c:v>
                </c:pt>
                <c:pt idx="41">
                  <c:v>4638.315789473684</c:v>
                </c:pt>
                <c:pt idx="42">
                  <c:v>4552.421052631577</c:v>
                </c:pt>
                <c:pt idx="43">
                  <c:v>4466.526315789471</c:v>
                </c:pt>
                <c:pt idx="44">
                  <c:v>4380.631578947366</c:v>
                </c:pt>
                <c:pt idx="45">
                  <c:v>4294.736842105262</c:v>
                </c:pt>
                <c:pt idx="46">
                  <c:v>4208.842105263157</c:v>
                </c:pt>
                <c:pt idx="47">
                  <c:v>4122.947368421051</c:v>
                </c:pt>
                <c:pt idx="48">
                  <c:v>4037.052631578946</c:v>
                </c:pt>
                <c:pt idx="49">
                  <c:v>3951.15789473684</c:v>
                </c:pt>
                <c:pt idx="50">
                  <c:v>3865.263157894735</c:v>
                </c:pt>
                <c:pt idx="51">
                  <c:v>3779.368421052629</c:v>
                </c:pt>
                <c:pt idx="52">
                  <c:v>3693.473684210524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2519328"/>
        <c:axId val="1812524448"/>
      </c:lineChart>
      <c:dateAx>
        <c:axId val="1812519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ja-JP"/>
                </a:pPr>
                <a:r>
                  <a:rPr lang="en-US"/>
                  <a:t>Week Ending</a:t>
                </a:r>
              </a:p>
            </c:rich>
          </c:tx>
          <c:overlay val="0"/>
        </c:title>
        <c:numFmt formatCode="m/d/yy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1812524448"/>
        <c:crosses val="autoZero"/>
        <c:auto val="1"/>
        <c:lblOffset val="100"/>
        <c:baseTimeUnit val="days"/>
        <c:majorUnit val="7.0"/>
        <c:majorTimeUnit val="days"/>
      </c:dateAx>
      <c:valAx>
        <c:axId val="1812524448"/>
        <c:scaling>
          <c:orientation val="minMax"/>
          <c:min val="1500.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18125193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ja-JP"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>
      <a:solidFill>
        <a:schemeClr val="tx1"/>
      </a:solidFill>
    </a:ln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SBE Meetings</a:t>
            </a:r>
            <a:r>
              <a:rPr lang="en-US" baseline="0"/>
              <a:t> to be Captioned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Videos!$H$1</c:f>
              <c:strCache>
                <c:ptCount val="1"/>
                <c:pt idx="0">
                  <c:v>Target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Videos!$G$2:$G$33</c:f>
              <c:strCache>
                <c:ptCount val="32"/>
                <c:pt idx="0">
                  <c:v>October</c:v>
                </c:pt>
                <c:pt idx="1">
                  <c:v>November</c:v>
                </c:pt>
                <c:pt idx="2">
                  <c:v>December</c:v>
                </c:pt>
                <c:pt idx="3">
                  <c:v>January</c:v>
                </c:pt>
                <c:pt idx="4">
                  <c:v>February</c:v>
                </c:pt>
                <c:pt idx="5">
                  <c:v>March</c:v>
                </c:pt>
                <c:pt idx="6">
                  <c:v>April</c:v>
                </c:pt>
                <c:pt idx="7">
                  <c:v>May</c:v>
                </c:pt>
                <c:pt idx="8">
                  <c:v>June</c:v>
                </c:pt>
                <c:pt idx="9">
                  <c:v>July</c:v>
                </c:pt>
                <c:pt idx="10">
                  <c:v>August</c:v>
                </c:pt>
                <c:pt idx="11">
                  <c:v>September</c:v>
                </c:pt>
                <c:pt idx="12">
                  <c:v>October</c:v>
                </c:pt>
                <c:pt idx="13">
                  <c:v>November</c:v>
                </c:pt>
                <c:pt idx="14">
                  <c:v>December</c:v>
                </c:pt>
                <c:pt idx="15">
                  <c:v>January</c:v>
                </c:pt>
                <c:pt idx="16">
                  <c:v>February</c:v>
                </c:pt>
                <c:pt idx="17">
                  <c:v>March</c:v>
                </c:pt>
                <c:pt idx="18">
                  <c:v>April</c:v>
                </c:pt>
                <c:pt idx="19">
                  <c:v>May</c:v>
                </c:pt>
                <c:pt idx="20">
                  <c:v>June</c:v>
                </c:pt>
                <c:pt idx="21">
                  <c:v>July</c:v>
                </c:pt>
                <c:pt idx="22">
                  <c:v>August</c:v>
                </c:pt>
                <c:pt idx="23">
                  <c:v>September</c:v>
                </c:pt>
                <c:pt idx="24">
                  <c:v>October</c:v>
                </c:pt>
                <c:pt idx="25">
                  <c:v>November</c:v>
                </c:pt>
                <c:pt idx="26">
                  <c:v>December</c:v>
                </c:pt>
                <c:pt idx="27">
                  <c:v>January</c:v>
                </c:pt>
                <c:pt idx="28">
                  <c:v>February</c:v>
                </c:pt>
                <c:pt idx="29">
                  <c:v>March</c:v>
                </c:pt>
                <c:pt idx="30">
                  <c:v>April</c:v>
                </c:pt>
                <c:pt idx="31">
                  <c:v>May</c:v>
                </c:pt>
              </c:strCache>
            </c:strRef>
          </c:cat>
          <c:val>
            <c:numRef>
              <c:f>Videos!$H$2:$H$21</c:f>
              <c:numCache>
                <c:formatCode>0</c:formatCode>
                <c:ptCount val="20"/>
                <c:pt idx="0">
                  <c:v>109.0</c:v>
                </c:pt>
                <c:pt idx="1">
                  <c:v>103.2631578947369</c:v>
                </c:pt>
                <c:pt idx="2">
                  <c:v>97.52631578947373</c:v>
                </c:pt>
                <c:pt idx="3">
                  <c:v>91.78947368421057</c:v>
                </c:pt>
                <c:pt idx="4">
                  <c:v>86.0526315789474</c:v>
                </c:pt>
                <c:pt idx="5">
                  <c:v>80.31578947368423</c:v>
                </c:pt>
                <c:pt idx="6">
                  <c:v>74.57894736842105</c:v>
                </c:pt>
                <c:pt idx="7">
                  <c:v>68.84210526315791</c:v>
                </c:pt>
                <c:pt idx="8">
                  <c:v>63.10526315789475</c:v>
                </c:pt>
                <c:pt idx="9">
                  <c:v>57.36842105263159</c:v>
                </c:pt>
                <c:pt idx="10">
                  <c:v>51.63157894736844</c:v>
                </c:pt>
                <c:pt idx="11">
                  <c:v>45.89473684210528</c:v>
                </c:pt>
                <c:pt idx="12">
                  <c:v>40.15789473684211</c:v>
                </c:pt>
                <c:pt idx="13">
                  <c:v>34.42105263157895</c:v>
                </c:pt>
                <c:pt idx="14">
                  <c:v>28.6842105263158</c:v>
                </c:pt>
                <c:pt idx="15">
                  <c:v>22.94736842105264</c:v>
                </c:pt>
                <c:pt idx="16">
                  <c:v>17.21052631578948</c:v>
                </c:pt>
                <c:pt idx="17">
                  <c:v>11.47368421052632</c:v>
                </c:pt>
                <c:pt idx="18">
                  <c:v>5.73684210526316</c:v>
                </c:pt>
                <c:pt idx="19">
                  <c:v>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Videos!$I$1</c:f>
              <c:strCache>
                <c:ptCount val="1"/>
                <c:pt idx="0">
                  <c:v>Actual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trendline>
            <c:trendlineType val="linear"/>
            <c:forward val="25.0"/>
            <c:dispRSqr val="0"/>
            <c:dispEq val="0"/>
          </c:trendline>
          <c:cat>
            <c:strRef>
              <c:f>Videos!$G$2:$G$33</c:f>
              <c:strCache>
                <c:ptCount val="32"/>
                <c:pt idx="0">
                  <c:v>October</c:v>
                </c:pt>
                <c:pt idx="1">
                  <c:v>November</c:v>
                </c:pt>
                <c:pt idx="2">
                  <c:v>December</c:v>
                </c:pt>
                <c:pt idx="3">
                  <c:v>January</c:v>
                </c:pt>
                <c:pt idx="4">
                  <c:v>February</c:v>
                </c:pt>
                <c:pt idx="5">
                  <c:v>March</c:v>
                </c:pt>
                <c:pt idx="6">
                  <c:v>April</c:v>
                </c:pt>
                <c:pt idx="7">
                  <c:v>May</c:v>
                </c:pt>
                <c:pt idx="8">
                  <c:v>June</c:v>
                </c:pt>
                <c:pt idx="9">
                  <c:v>July</c:v>
                </c:pt>
                <c:pt idx="10">
                  <c:v>August</c:v>
                </c:pt>
                <c:pt idx="11">
                  <c:v>September</c:v>
                </c:pt>
                <c:pt idx="12">
                  <c:v>October</c:v>
                </c:pt>
                <c:pt idx="13">
                  <c:v>November</c:v>
                </c:pt>
                <c:pt idx="14">
                  <c:v>December</c:v>
                </c:pt>
                <c:pt idx="15">
                  <c:v>January</c:v>
                </c:pt>
                <c:pt idx="16">
                  <c:v>February</c:v>
                </c:pt>
                <c:pt idx="17">
                  <c:v>March</c:v>
                </c:pt>
                <c:pt idx="18">
                  <c:v>April</c:v>
                </c:pt>
                <c:pt idx="19">
                  <c:v>May</c:v>
                </c:pt>
                <c:pt idx="20">
                  <c:v>June</c:v>
                </c:pt>
                <c:pt idx="21">
                  <c:v>July</c:v>
                </c:pt>
                <c:pt idx="22">
                  <c:v>August</c:v>
                </c:pt>
                <c:pt idx="23">
                  <c:v>September</c:v>
                </c:pt>
                <c:pt idx="24">
                  <c:v>October</c:v>
                </c:pt>
                <c:pt idx="25">
                  <c:v>November</c:v>
                </c:pt>
                <c:pt idx="26">
                  <c:v>December</c:v>
                </c:pt>
                <c:pt idx="27">
                  <c:v>January</c:v>
                </c:pt>
                <c:pt idx="28">
                  <c:v>February</c:v>
                </c:pt>
                <c:pt idx="29">
                  <c:v>March</c:v>
                </c:pt>
                <c:pt idx="30">
                  <c:v>April</c:v>
                </c:pt>
                <c:pt idx="31">
                  <c:v>May</c:v>
                </c:pt>
              </c:strCache>
            </c:strRef>
          </c:cat>
          <c:val>
            <c:numRef>
              <c:f>Videos!$I$2:$I$9</c:f>
              <c:numCache>
                <c:formatCode>0</c:formatCode>
                <c:ptCount val="8"/>
                <c:pt idx="0" formatCode="General">
                  <c:v>109.0</c:v>
                </c:pt>
                <c:pt idx="1">
                  <c:v>107.0</c:v>
                </c:pt>
                <c:pt idx="2">
                  <c:v>102.0</c:v>
                </c:pt>
                <c:pt idx="3">
                  <c:v>95.0</c:v>
                </c:pt>
                <c:pt idx="4">
                  <c:v>92.0</c:v>
                </c:pt>
                <c:pt idx="5">
                  <c:v>88.0</c:v>
                </c:pt>
                <c:pt idx="6">
                  <c:v>83.0</c:v>
                </c:pt>
                <c:pt idx="7">
                  <c:v>78.0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12462720"/>
        <c:axId val="1812465680"/>
      </c:lineChart>
      <c:catAx>
        <c:axId val="1812462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2465680"/>
        <c:crosses val="autoZero"/>
        <c:auto val="1"/>
        <c:lblAlgn val="ctr"/>
        <c:lblOffset val="100"/>
        <c:noMultiLvlLbl val="0"/>
      </c:catAx>
      <c:valAx>
        <c:axId val="181246568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812462720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lang="ja-JP"/>
            </a:pPr>
            <a:r>
              <a:rPr lang="en-US"/>
              <a:t>% of Website Author Training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4"/>
          <c:order val="0"/>
          <c:tx>
            <c:strRef>
              <c:f>Training!$D$1</c:f>
              <c:strCache>
                <c:ptCount val="1"/>
                <c:pt idx="0">
                  <c:v>Lynda.com</c:v>
                </c:pt>
              </c:strCache>
            </c:strRef>
          </c:tx>
          <c:marker>
            <c:symbol val="square"/>
            <c:size val="5"/>
            <c:spPr>
              <a:solidFill>
                <a:schemeClr val="tx1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ja-JP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Training!$A$8:$A$20</c:f>
              <c:numCache>
                <c:formatCode>m/d/yy</c:formatCode>
                <c:ptCount val="13"/>
                <c:pt idx="0">
                  <c:v>42258.0</c:v>
                </c:pt>
                <c:pt idx="1">
                  <c:v>42265.0</c:v>
                </c:pt>
                <c:pt idx="2">
                  <c:v>42272.0</c:v>
                </c:pt>
                <c:pt idx="3">
                  <c:v>42279.0</c:v>
                </c:pt>
                <c:pt idx="4">
                  <c:v>42286.0</c:v>
                </c:pt>
                <c:pt idx="5">
                  <c:v>42293.0</c:v>
                </c:pt>
                <c:pt idx="6">
                  <c:v>42300.0</c:v>
                </c:pt>
                <c:pt idx="7">
                  <c:v>42307.0</c:v>
                </c:pt>
                <c:pt idx="8">
                  <c:v>42314.0</c:v>
                </c:pt>
                <c:pt idx="9">
                  <c:v>42328.0</c:v>
                </c:pt>
                <c:pt idx="10">
                  <c:v>42335.0</c:v>
                </c:pt>
                <c:pt idx="11">
                  <c:v>42342.0</c:v>
                </c:pt>
                <c:pt idx="12">
                  <c:v>42373.0</c:v>
                </c:pt>
              </c:numCache>
            </c:numRef>
          </c:cat>
          <c:val>
            <c:numRef>
              <c:f>Training!$D$8:$D$20</c:f>
              <c:numCache>
                <c:formatCode>0.0%</c:formatCode>
                <c:ptCount val="13"/>
                <c:pt idx="0">
                  <c:v>0.192982456140351</c:v>
                </c:pt>
                <c:pt idx="1">
                  <c:v>0.196428571428571</c:v>
                </c:pt>
                <c:pt idx="2">
                  <c:v>0.31578947368421</c:v>
                </c:pt>
                <c:pt idx="3">
                  <c:v>0.383333333333333</c:v>
                </c:pt>
                <c:pt idx="4">
                  <c:v>0.508474576271186</c:v>
                </c:pt>
                <c:pt idx="5">
                  <c:v>0.542372881355932</c:v>
                </c:pt>
                <c:pt idx="6">
                  <c:v>0.694915254237288</c:v>
                </c:pt>
                <c:pt idx="7">
                  <c:v>0.711864406779661</c:v>
                </c:pt>
                <c:pt idx="8">
                  <c:v>0.76271186440678</c:v>
                </c:pt>
                <c:pt idx="9">
                  <c:v>0.754098360655738</c:v>
                </c:pt>
                <c:pt idx="10">
                  <c:v>0.770491803278688</c:v>
                </c:pt>
                <c:pt idx="11">
                  <c:v>0.816666666666667</c:v>
                </c:pt>
                <c:pt idx="12">
                  <c:v>1.0</c:v>
                </c:pt>
              </c:numCache>
            </c:numRef>
          </c:val>
          <c:smooth val="0"/>
        </c:ser>
        <c:ser>
          <c:idx val="6"/>
          <c:order val="1"/>
          <c:tx>
            <c:strRef>
              <c:f>Training!$F$1</c:f>
              <c:strCache>
                <c:ptCount val="1"/>
                <c:pt idx="0">
                  <c:v>Web CMA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ja-JP"/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Training!$A$8:$A$20</c:f>
              <c:numCache>
                <c:formatCode>m/d/yy</c:formatCode>
                <c:ptCount val="13"/>
                <c:pt idx="0">
                  <c:v>42258.0</c:v>
                </c:pt>
                <c:pt idx="1">
                  <c:v>42265.0</c:v>
                </c:pt>
                <c:pt idx="2">
                  <c:v>42272.0</c:v>
                </c:pt>
                <c:pt idx="3">
                  <c:v>42279.0</c:v>
                </c:pt>
                <c:pt idx="4">
                  <c:v>42286.0</c:v>
                </c:pt>
                <c:pt idx="5">
                  <c:v>42293.0</c:v>
                </c:pt>
                <c:pt idx="6">
                  <c:v>42300.0</c:v>
                </c:pt>
                <c:pt idx="7">
                  <c:v>42307.0</c:v>
                </c:pt>
                <c:pt idx="8">
                  <c:v>42314.0</c:v>
                </c:pt>
                <c:pt idx="9">
                  <c:v>42328.0</c:v>
                </c:pt>
                <c:pt idx="10">
                  <c:v>42335.0</c:v>
                </c:pt>
                <c:pt idx="11">
                  <c:v>42342.0</c:v>
                </c:pt>
                <c:pt idx="12">
                  <c:v>42373.0</c:v>
                </c:pt>
              </c:numCache>
            </c:numRef>
          </c:cat>
          <c:val>
            <c:numRef>
              <c:f>Training!$F$8:$F$20</c:f>
              <c:numCache>
                <c:formatCode>0.0%</c:formatCode>
                <c:ptCount val="13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0.23728813559322</c:v>
                </c:pt>
                <c:pt idx="7">
                  <c:v>0.23728813559322</c:v>
                </c:pt>
                <c:pt idx="8">
                  <c:v>0.423728813559322</c:v>
                </c:pt>
                <c:pt idx="9">
                  <c:v>0.573770491803279</c:v>
                </c:pt>
                <c:pt idx="10">
                  <c:v>0.573770491803279</c:v>
                </c:pt>
                <c:pt idx="11">
                  <c:v>0.716666666666667</c:v>
                </c:pt>
                <c:pt idx="12">
                  <c:v>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2322848"/>
        <c:axId val="1812319072"/>
      </c:lineChart>
      <c:dateAx>
        <c:axId val="1812322848"/>
        <c:scaling>
          <c:orientation val="minMax"/>
        </c:scaling>
        <c:delete val="0"/>
        <c:axPos val="b"/>
        <c:numFmt formatCode="m/d/yy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1812319072"/>
        <c:crosses val="autoZero"/>
        <c:auto val="1"/>
        <c:lblOffset val="100"/>
        <c:baseTimeUnit val="days"/>
        <c:majorUnit val="7.0"/>
        <c:majorTimeUnit val="days"/>
        <c:minorUnit val="7.0"/>
        <c:minorTimeUnit val="days"/>
      </c:dateAx>
      <c:valAx>
        <c:axId val="18123190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18123228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ja-JP"/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882</Words>
  <Characters>5032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MDE Website Accessibility Update</vt:lpstr>
      <vt:lpstr>Michigan Department of Education Website Accessibility Update</vt:lpstr>
      <vt:lpstr>    Michigan.gov Webpages</vt:lpstr>
      <vt:lpstr>    Michigan.gov Documents</vt:lpstr>
      <vt:lpstr>    Michigan.gov Videos</vt:lpstr>
      <vt:lpstr>    Accessibility Training</vt:lpstr>
      <vt:lpstr>    DTMB-Hosted Applications</vt:lpstr>
    </vt:vector>
  </TitlesOfParts>
  <Manager/>
  <Company>MI Department of Education</Company>
  <LinksUpToDate>false</LinksUpToDate>
  <CharactersWithSpaces>5903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MDE Website Accessibility Update</dc:title>
  <dc:subject/>
  <dc:creator>Michael Flaminio</dc:creator>
  <cp:keywords/>
  <dc:description/>
  <cp:lastModifiedBy>Microsoft Office User</cp:lastModifiedBy>
  <cp:revision>99</cp:revision>
  <dcterms:created xsi:type="dcterms:W3CDTF">2016-05-17T11:56:00Z</dcterms:created>
  <dcterms:modified xsi:type="dcterms:W3CDTF">2016-06-03T13:50:00Z</dcterms:modified>
  <cp:category/>
</cp:coreProperties>
</file>